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05D2B3" w14:textId="77777777" w:rsidR="003A3E4A" w:rsidRPr="009E295C" w:rsidRDefault="003A3E4A" w:rsidP="009E295C">
      <w:bookmarkStart w:id="0" w:name="_GoBack"/>
      <w:bookmarkEnd w:id="0"/>
      <w:r w:rsidRPr="009E295C">
        <w:t>Europa in beweging</w:t>
      </w:r>
    </w:p>
    <w:p w14:paraId="40712612" w14:textId="77777777" w:rsidR="00CC6DFF" w:rsidRPr="009E295C" w:rsidRDefault="00CC6DFF" w:rsidP="009E295C">
      <w:r w:rsidRPr="009E295C">
        <w:t>Europese Commissie</w:t>
      </w:r>
    </w:p>
    <w:p w14:paraId="4FCE62EB" w14:textId="77777777" w:rsidR="00CC6DFF" w:rsidRPr="009E295C" w:rsidRDefault="00CC6DFF" w:rsidP="009E295C">
      <w:r w:rsidRPr="009E295C">
        <w:t>Directoraat-generaal Pers en communicatie</w:t>
      </w:r>
    </w:p>
    <w:p w14:paraId="3BB5BE2B" w14:textId="77777777" w:rsidR="009E295C" w:rsidRPr="009E295C" w:rsidRDefault="009E295C" w:rsidP="009E295C"/>
    <w:p w14:paraId="464D4792" w14:textId="77777777" w:rsidR="003A3E4A" w:rsidRPr="009E295C" w:rsidRDefault="003A3E4A" w:rsidP="009E295C">
      <w:pPr>
        <w:pStyle w:val="Kop1"/>
      </w:pPr>
      <w:r w:rsidRPr="009E295C">
        <w:t>Een speler van wereldformaat</w:t>
      </w:r>
    </w:p>
    <w:p w14:paraId="1DBF7E9D" w14:textId="77777777" w:rsidR="009E295C" w:rsidRPr="009E295C" w:rsidRDefault="003A3E4A" w:rsidP="009E295C">
      <w:r w:rsidRPr="009E295C">
        <w:t>De externe betrekkingen van de Europese Unie</w:t>
      </w:r>
    </w:p>
    <w:p w14:paraId="566906F4" w14:textId="77777777" w:rsidR="009E295C" w:rsidRPr="009E295C" w:rsidRDefault="00CC6DFF" w:rsidP="009E295C">
      <w:r w:rsidRPr="009E295C">
        <w:t>Alleen al de omvang van de Europese Unie in termen van economie, handel en financiële kracht maakt haar tot een speler van wereldformaat. Zij heeft een netwerk van overeenkomsten met de meeste landen en regio’s van de wereld. Als grootste op het gebied van internationale handel en als thuisland van de euro — de tweede munteenheid ter wereld — geeft de EU 500 miljoen euro per maand aan hulpprojecten op alle vijf de continenten uit.</w:t>
      </w:r>
    </w:p>
    <w:p w14:paraId="163CA824" w14:textId="77777777" w:rsidR="009E295C" w:rsidRPr="009E295C" w:rsidRDefault="00CC6DFF" w:rsidP="009E295C">
      <w:r w:rsidRPr="009E295C">
        <w:t>De Europese Unie is bezig een gemeenschappelijk buitenlands en veiligheidsbeleid tot stand te brengen waarmee haar leden gezamenlijk en vereend op het wereldtoneel kunnen optreden ten behoeve van stabiliteit, samenwerking en meer onderling begrip. Terzelfder tijd ontwikkelt de EU zekere capaciteiten op het gebied van defensie en heeft zij haar eerste vredesmissies ondernomen. Daarnaast is zij ook betrokken bij het bestrijden van terrorisme.</w:t>
      </w:r>
    </w:p>
    <w:p w14:paraId="300B3D54" w14:textId="77777777" w:rsidR="009E295C" w:rsidRPr="009E295C" w:rsidRDefault="00CC6DFF" w:rsidP="009E295C">
      <w:r w:rsidRPr="009E295C">
        <w:t>Door te helpen overal ter wereld veiligheid en stabiliteit tot stand te brengen, draagt de EU er ook toe bij het leven voor de bevolking binnen haar eigen grenzen veiliger te maken.</w:t>
      </w:r>
    </w:p>
    <w:p w14:paraId="3A3C8799" w14:textId="77777777" w:rsidR="009E295C" w:rsidRPr="009E295C" w:rsidRDefault="00CC6DFF" w:rsidP="009E295C">
      <w:r w:rsidRPr="009E295C">
        <w:t>In haar internationale betrekkingen is de EU vooral actief bij het bevorderen van de menselijke aspecten zoals solidariteit, mensenrechten en democratie.</w:t>
      </w:r>
    </w:p>
    <w:p w14:paraId="3F2AC862" w14:textId="77777777" w:rsidR="009E295C" w:rsidRPr="009E295C" w:rsidRDefault="003A3E4A" w:rsidP="009E295C">
      <w:pPr>
        <w:pStyle w:val="Kop1"/>
        <w:rPr>
          <w:lang w:val="nl-BE"/>
        </w:rPr>
      </w:pPr>
      <w:r w:rsidRPr="009E295C">
        <w:rPr>
          <w:lang w:val="nl-BE"/>
        </w:rPr>
        <w:t>De rol van de EU in de wereld</w:t>
      </w:r>
    </w:p>
    <w:p w14:paraId="67561C3C" w14:textId="77777777" w:rsidR="009E295C" w:rsidRPr="009E295C" w:rsidRDefault="003A3E4A" w:rsidP="009E295C">
      <w:pPr>
        <w:pStyle w:val="Kop2"/>
        <w:rPr>
          <w:lang w:val="nl-BE"/>
        </w:rPr>
      </w:pPr>
      <w:r w:rsidRPr="009E295C">
        <w:rPr>
          <w:lang w:val="nl-BE"/>
        </w:rPr>
        <w:t>De Europese Unie is een speler van wereldformaat</w:t>
      </w:r>
    </w:p>
    <w:p w14:paraId="6D861252" w14:textId="77777777" w:rsidR="009E295C" w:rsidRPr="009E295C" w:rsidRDefault="003A3E4A" w:rsidP="009E295C">
      <w:r w:rsidRPr="009E295C">
        <w:t>De Unie heeft een bevolking van 450 miljoen inwoners</w:t>
      </w:r>
      <w:r w:rsidR="005206C9" w:rsidRPr="009E295C">
        <w:t> </w:t>
      </w:r>
      <w:r w:rsidR="00E445AE" w:rsidRPr="009E295C">
        <w:t xml:space="preserve">— </w:t>
      </w:r>
      <w:r w:rsidRPr="009E295C">
        <w:t>meer dan de Verenigde Staten en Rusland tezamen. Zij is het grootste handelsblok ter wereld en produceert een kwart van de totale welvaart ter wereld. Zij geeft meer bijstand aan arme landen dan welke andere donor ook. Haar munteenheid, de euro, komt op de internationale financiële markten meteen na de Amerikaanse dollar op de tweede plaats.</w:t>
      </w:r>
    </w:p>
    <w:p w14:paraId="4B79BC8A" w14:textId="77777777" w:rsidR="009E295C" w:rsidRPr="009E295C" w:rsidRDefault="003A3E4A" w:rsidP="009E295C">
      <w:r w:rsidRPr="009E295C">
        <w:t>De EU is niet opgericht met de bedoeling een wereldmacht te worden. Ontstaan in de jaren na de Tweede Wereldoorlog was haar eerste zorg de landen en volkeren van Europa tot elkaar te brengen. Maar naargelang de Unie groter werd en meer verantwoordelijkheden op zich nam, moest zij ook haar betrekkingen met de rest van de wereld gaan overdenken. Net zoals zij haar best had gedaan binnen haar grenzen handelsbelemmeringen op te heffen, armere regio</w:t>
      </w:r>
      <w:r w:rsidR="004C6AA5" w:rsidRPr="009E295C">
        <w:t>’</w:t>
      </w:r>
      <w:r w:rsidRPr="009E295C">
        <w:t>s te ontwikkelen en een vreedzame samenwerking te bevorderen, werkt de Unie met andere landen en internationale organisaties samen om iedereen te laten profiteren van open markten, economische groei en stabiliteit in een wereld waarin iedereen steeds meer van elkaar afhankelijk is. Terzelfder</w:t>
      </w:r>
      <w:r w:rsidR="006D58F8" w:rsidRPr="009E295C">
        <w:t xml:space="preserve"> </w:t>
      </w:r>
      <w:r w:rsidRPr="009E295C">
        <w:t>tijd verdedigt de EU op internationaal gebied haar gerechtvaardigde economische en handelsbelangen.</w:t>
      </w:r>
    </w:p>
    <w:p w14:paraId="1842D194" w14:textId="77777777" w:rsidR="009E295C" w:rsidRPr="009E295C" w:rsidRDefault="003A3E4A" w:rsidP="009E295C">
      <w:r w:rsidRPr="009E295C">
        <w:lastRenderedPageBreak/>
        <w:t>Een belangrijke uitdaging is momenteel vrede en veiligheid buiten de grenzen van de Europese Unie tot stand te brengen. Hiertoe ontwikkelt de EU een gemeenschappelijk buitenlands beleid en veiligheidsbeleid: zo kan zij in de grote buitenwereld krachtig optreden om stabiliteit, samenwerking en wederzijds begrip te bevorderen.</w:t>
      </w:r>
    </w:p>
    <w:p w14:paraId="566ECD44" w14:textId="77777777" w:rsidR="009E295C" w:rsidRPr="009E295C" w:rsidRDefault="003A3E4A" w:rsidP="009E295C">
      <w:r w:rsidRPr="009E295C">
        <w:t xml:space="preserve">De Koude Oorlog heeft een groot deel van de wereld gedurende meer dan 40 jaar in twee kampen opgedeeld. Het beëindigen van die tweespalt heeft tot een wereldorde geleid die ingewikkelder en kwetsbaarder is, waarbij van de EU een grotere betrokkenheid wordt gevraagd om conflicten te voorkomen, om vrede te handhaven en om terrorisme te bestrijden. De EU betaalt mee aan het burgerlijk bestuur van de Verenigde Naties in Kosovo, zij geeft duurzame financiële steun voor de Palestijnse </w:t>
      </w:r>
      <w:r w:rsidR="006E4F1C" w:rsidRPr="009E295C">
        <w:t>A</w:t>
      </w:r>
      <w:r w:rsidRPr="009E295C">
        <w:t xml:space="preserve">utoriteit en levert één miljard euro voor de wederopbouw van Afghanistan. De EU voerde in 2003 in de </w:t>
      </w:r>
      <w:r w:rsidR="006E4F1C" w:rsidRPr="009E295C">
        <w:t>w</w:t>
      </w:r>
      <w:r w:rsidRPr="009E295C">
        <w:t>estelijke Balkan en in Midden-Afrika haar eerste missies uit als gevolg van haar nieuwe Europese defensiebeleid en veiligheidsbeleid. Daar zal het niet bij blijven. Door te helpen elders ter wereld veiligheid en stabiliteit te brengen, zorgt de EU er ook voor het bestaan binnen haar eigen grenzen veiliger te maken.</w:t>
      </w:r>
    </w:p>
    <w:p w14:paraId="73C593E0" w14:textId="77777777" w:rsidR="009E295C" w:rsidRPr="009E295C" w:rsidRDefault="003A3E4A" w:rsidP="009E295C">
      <w:r w:rsidRPr="009E295C">
        <w:t>Uiteindelijk laat de Europese Unie zien hoe landen met succes hun economische en hun politieke hulpmiddelen kunnen samenbrengen, in het belang van alle betrokkenen. Dit dient als model voor een samengaan tussen landen elders ter wereld.</w:t>
      </w:r>
    </w:p>
    <w:p w14:paraId="7DC6E0F9" w14:textId="77777777" w:rsidR="009E295C" w:rsidRPr="009E295C" w:rsidRDefault="003A3E4A" w:rsidP="009E295C">
      <w:pPr>
        <w:pStyle w:val="Kop2"/>
        <w:rPr>
          <w:lang w:val="nl-BE"/>
        </w:rPr>
      </w:pPr>
      <w:r w:rsidRPr="009E295C">
        <w:rPr>
          <w:lang w:val="nl-BE"/>
        </w:rPr>
        <w:t>Hoe de EU haar externe betrekkingen organiseert</w:t>
      </w:r>
    </w:p>
    <w:p w14:paraId="51B1A02D" w14:textId="77777777" w:rsidR="009E295C" w:rsidRPr="009E295C" w:rsidRDefault="003A3E4A" w:rsidP="009E295C">
      <w:pPr>
        <w:rPr>
          <w:lang w:val="nl-BE"/>
        </w:rPr>
      </w:pPr>
      <w:r w:rsidRPr="009E295C">
        <w:rPr>
          <w:lang w:val="nl-BE"/>
        </w:rPr>
        <w:t xml:space="preserve">Sedert haar ontstaan in de jaren </w:t>
      </w:r>
      <w:r w:rsidR="006E4F1C" w:rsidRPr="009E295C">
        <w:rPr>
          <w:lang w:val="nl-BE"/>
        </w:rPr>
        <w:t>vijftig</w:t>
      </w:r>
      <w:r w:rsidRPr="009E295C">
        <w:rPr>
          <w:lang w:val="nl-BE"/>
        </w:rPr>
        <w:t xml:space="preserve"> heeft de Europese Unie betrekkingen met de rest van de wereld aangeknoopt door middel van een gemeenschappelijk beleid op het gebied van handel, ontwikkelingshulp en formele overeenkomsten voor handel en samenwerking met afzonderlijke landen of regionale groepen van landen.</w:t>
      </w:r>
    </w:p>
    <w:p w14:paraId="265AB198" w14:textId="77777777" w:rsidR="009E295C" w:rsidRPr="009E295C" w:rsidRDefault="003A3E4A" w:rsidP="009E295C">
      <w:r w:rsidRPr="009E295C">
        <w:t>De EU is in de jaren zeventig van de vorige eeuw begonnen met humanitaire hulp aan de behoeftigen elders ter wereld. Krachtens het Verdrag van Maastricht is zij sinds 1993 een gemeenschappelijk buitenlands en veiligheidsbeleid (GBVB) gaan ontwikkelen zodat zij gemeenschappelijk op kan treden daar waar de belangen van de Unie als geheel daarom vragen. Defensie is een belangrijk onderdeel van het GBVB aan het worden nu de EU probeert overal ter wereld stabiliteit te bevorderen en te handhaven. Nu zij met terreur, grensoverschrijdende misdrijven, drugshandel, illegale immigratie en grensoverschrijdende kwesties als het milieu te maken heeft, werkt de Unie ook met andere landen en internationale organisaties nauw samen.</w:t>
      </w:r>
    </w:p>
    <w:p w14:paraId="005BE67F" w14:textId="77777777" w:rsidR="009E295C" w:rsidRPr="009E295C" w:rsidRDefault="003A3E4A" w:rsidP="009E295C">
      <w:r w:rsidRPr="009E295C">
        <w:t>Het gemeenschappelijk handelsbeleid van de EU werkt op twee niveaus: allereerst is de Europese Unie in het kader van de Wereldhandelsorganisatie (WTO) actief betrokken bij het vaststellen van de regels voor het multilaterale stelsel van de wereldhandel. Daarnaast onderhandelt de EU zelf over bilaterale handelsovereenkomsten met landen of met regionale groeperingen van landen.</w:t>
      </w:r>
    </w:p>
    <w:p w14:paraId="60A6342E" w14:textId="77777777" w:rsidR="009E295C" w:rsidRPr="009E295C" w:rsidRDefault="003A3E4A" w:rsidP="009E295C">
      <w:r w:rsidRPr="009E295C">
        <w:t>De ontwikkelingshulp en ontwikkelingssamenwerking was oorspronkelijk toegespitst op Afrika en werd halverwege de jaren zeventig uitgebreid tot Azië, Latijns-Amerika en de landen aan de zuidelijke en oostelijke oevers van de Middellandse Zee. Daaraan ten grondslag ligt de idee om steeds duurzame groei en ontwikkeling in de partnerlanden te ondersteunen zodat zij de middelen krijgen om armoede aan te pakken en uit te roeien. De Unie heeft er groot belang bij haar partners daarin te steunen en ze aan te moedigen succes te hebben en welvarend te worden.</w:t>
      </w:r>
    </w:p>
    <w:p w14:paraId="632CC2B2" w14:textId="77777777" w:rsidR="009E295C" w:rsidRPr="009E295C" w:rsidRDefault="003A3E4A" w:rsidP="009E295C">
      <w:pPr>
        <w:pStyle w:val="Kop2"/>
      </w:pPr>
      <w:r w:rsidRPr="009E295C">
        <w:lastRenderedPageBreak/>
        <w:t>Meer dan handel en hulp</w:t>
      </w:r>
    </w:p>
    <w:p w14:paraId="473603CD" w14:textId="77777777" w:rsidR="009E295C" w:rsidRPr="009E295C" w:rsidRDefault="003A3E4A" w:rsidP="009E295C">
      <w:r w:rsidRPr="009E295C">
        <w:t>De overeenkomsten van de EU met haar partners elders ter wereld gaan niet alleen over handel en traditionele financiële en technische bijstand maar ook over economische en andere hervormingen en over steun voor infrastructuur en gezondheidszorg en programma</w:t>
      </w:r>
      <w:r w:rsidR="004C6AA5" w:rsidRPr="009E295C">
        <w:t>’</w:t>
      </w:r>
      <w:r w:rsidRPr="009E295C">
        <w:t>s op het gebied van onderwijs. Bovendien leveren zij een uitgangspunt om een politieke dialoog aan te gaan en bevatten zij een clausule waarmee het de Unie mogelijk wordt handel of hulp op te schorten of te beëindigen als het partnerland de mensenrechten schendt. Daarnaast heeft de EU in 2003 besloten dat alle nieuwe overeenkomsten een clausule moeten bevatten waarin haar partners beloven geen massavernietigingswapens naar andere landen of groeperingen te verkopen.</w:t>
      </w:r>
    </w:p>
    <w:p w14:paraId="7E3CA0D7" w14:textId="77777777" w:rsidR="009E295C" w:rsidRPr="009E295C" w:rsidRDefault="003A3E4A" w:rsidP="009E295C">
      <w:r w:rsidRPr="009E295C">
        <w:t xml:space="preserve">De EU moet er natuurlijk voor zorgen dat de verschillende aspecten van haar buitenlands beleid niet met elkaar in strijd zijn en als geheel een duidelijk beeld opleveren. Om hiertoe te komen heeft zij in 1999 een </w:t>
      </w:r>
      <w:r w:rsidR="00AE67C0" w:rsidRPr="009E295C">
        <w:t>hoge vertegenwoordiger</w:t>
      </w:r>
      <w:r w:rsidRPr="009E295C">
        <w:t xml:space="preserve"> voor het buitenlands en veiligheidsbeleid aangewezen. In 2004 zijn de leiders van de EU in beginsel overeengekomen om de post van minister van Buitenlandse Zaken van de EU in het leven te roepen. Dit is een van de nieuwe regelingen die in het Verdrag voor een </w:t>
      </w:r>
      <w:r w:rsidR="006E4F1C" w:rsidRPr="009E295C">
        <w:t>g</w:t>
      </w:r>
      <w:r w:rsidRPr="009E295C">
        <w:t>rondwet van de EU zijn neergelegd.</w:t>
      </w:r>
    </w:p>
    <w:p w14:paraId="76F36258" w14:textId="77777777" w:rsidR="009E295C" w:rsidRPr="009E295C" w:rsidRDefault="003A3E4A" w:rsidP="009E295C">
      <w:pPr>
        <w:pStyle w:val="Kop2"/>
      </w:pPr>
      <w:r w:rsidRPr="009E295C">
        <w:t>Het bevorderen van de mensenrechten</w:t>
      </w:r>
    </w:p>
    <w:p w14:paraId="7210CF1D" w14:textId="77777777" w:rsidR="009E295C" w:rsidRPr="009E295C" w:rsidRDefault="003A3E4A" w:rsidP="009E295C">
      <w:r w:rsidRPr="009E295C">
        <w:t>De Europese Unie bevordert het eerbiedigen van de mensenrechten, zowel binnenlands alsook elders. Zij hecht grote waarde aan burgerrechten, politieke rechten, economische rechten, sociale rechten en culturele rechten. Bovendien is zij uit op het bevorderen van de rechten van vrouwen en van kinderen en die van minderheden en van ontheemden.</w:t>
      </w:r>
    </w:p>
    <w:p w14:paraId="09E68333" w14:textId="77777777" w:rsidR="009E295C" w:rsidRPr="009E295C" w:rsidRDefault="003A3E4A" w:rsidP="009E295C">
      <w:r w:rsidRPr="009E295C">
        <w:t>De mensenrechten worden vermeld in de overeenkomsten inzake handel en samenwerking van de EU met haar partners. Zij zijn ook een voorwaarde voor landen die tot de Unie willen toetreden. De EU is in de afgelopen jaren met landen zoals China en Iran een dialoog over mensenrechten blijven onderhouden. Zij heeft tegen verschillende landen zoals Servië, Birma/Myanmar en Zimbabwe sancties ingesteld vanwege het schenden van de mensenrechten.</w:t>
      </w:r>
    </w:p>
    <w:p w14:paraId="6B43F226" w14:textId="77777777" w:rsidR="009E295C" w:rsidRPr="009E295C" w:rsidRDefault="003A3E4A" w:rsidP="009E295C">
      <w:r w:rsidRPr="009E295C">
        <w:t>Bovendien helpt de EU een hele reeks activiteiten ten behoeve van de mensenrechten te bekostigen, zoals het Europese initiatief voor democratie en mensenrechten dat ongeveer 100 miljoen euro per jaar uitgeeft aan:</w:t>
      </w:r>
    </w:p>
    <w:p w14:paraId="28AD859B" w14:textId="77777777" w:rsidR="003A3E4A" w:rsidRPr="009E295C" w:rsidRDefault="003A3E4A" w:rsidP="009E295C">
      <w:pPr>
        <w:pStyle w:val="Lijstopsomteken"/>
      </w:pPr>
      <w:r w:rsidRPr="009E295C">
        <w:t>het versterken van de democratie, goed bestuur en de rechtsstaat;</w:t>
      </w:r>
    </w:p>
    <w:p w14:paraId="23EB5112" w14:textId="77777777" w:rsidR="003A3E4A" w:rsidRPr="009E295C" w:rsidRDefault="003A3E4A" w:rsidP="009E295C">
      <w:pPr>
        <w:pStyle w:val="Lijstopsomteken"/>
      </w:pPr>
      <w:r w:rsidRPr="009E295C">
        <w:t>het steunen van het afschaffen van de doodstraf, wereldwijd;</w:t>
      </w:r>
    </w:p>
    <w:p w14:paraId="1591D724" w14:textId="77777777" w:rsidR="003A3E4A" w:rsidRPr="009E295C" w:rsidRDefault="003A3E4A" w:rsidP="009E295C">
      <w:pPr>
        <w:pStyle w:val="Lijstopsomteken"/>
      </w:pPr>
      <w:r w:rsidRPr="009E295C">
        <w:t>het bestrijden van martelingen en het tegengaan van het ongestraft blijven daarvan en de ondersteuning van internationale rechtbanken, tribunalen en strafhoven;</w:t>
      </w:r>
    </w:p>
    <w:p w14:paraId="16F72B04" w14:textId="77777777" w:rsidR="009E295C" w:rsidRPr="009E295C" w:rsidRDefault="003A3E4A" w:rsidP="009E295C">
      <w:pPr>
        <w:pStyle w:val="Lijstopsomteken"/>
      </w:pPr>
      <w:r w:rsidRPr="009E295C">
        <w:t>het bestrijden van racisme, vreemdelingenhaat en discriminatie jegens minderheden en inheemse bevolkingsgroepen.</w:t>
      </w:r>
    </w:p>
    <w:p w14:paraId="2339EF01" w14:textId="77777777" w:rsidR="003A3E4A" w:rsidRPr="009E295C" w:rsidRDefault="003A3E4A" w:rsidP="009E295C">
      <w:r w:rsidRPr="009E295C">
        <w:t xml:space="preserve">Bovendien biedt de EU lagere tarieven voor de invoer uit landen die zich houden aan de minimumarbeidsvoorwaarden en </w:t>
      </w:r>
      <w:r w:rsidRPr="009E295C">
        <w:noBreakHyphen/>
        <w:t>normen inzake werk zoals deze door de Internationale Arbeidsorganisatie zijn vastgesteld.</w:t>
      </w:r>
    </w:p>
    <w:p w14:paraId="0092B5D6" w14:textId="77777777" w:rsidR="009E295C" w:rsidRPr="009E295C" w:rsidRDefault="003A3E4A" w:rsidP="009E295C">
      <w:pPr>
        <w:pStyle w:val="Kop1"/>
        <w:rPr>
          <w:lang w:val="nl-BE"/>
        </w:rPr>
      </w:pPr>
      <w:r w:rsidRPr="009E295C">
        <w:rPr>
          <w:lang w:val="nl-BE"/>
        </w:rPr>
        <w:lastRenderedPageBreak/>
        <w:t>Het gemeenschappelijk buitenlands en veiligheidsbeleid</w:t>
      </w:r>
    </w:p>
    <w:p w14:paraId="17567643" w14:textId="77777777" w:rsidR="009E295C" w:rsidRPr="009E295C" w:rsidRDefault="003A3E4A" w:rsidP="009E295C">
      <w:r w:rsidRPr="009E295C">
        <w:rPr>
          <w:lang w:val="nl-BE"/>
        </w:rPr>
        <w:t xml:space="preserve">Het idee dat een sterk Europa als een enkele speler op het wereldtoneel zou moeten optreden heeft de lidstaten ertoe aangemoedigd samen te werken bij de ontwikkeling van een coherent buitenlands beleid. </w:t>
      </w:r>
      <w:r w:rsidRPr="009E295C">
        <w:t>De vooruitgang in de jaren achter ons was langzaam maar wel gestaag.</w:t>
      </w:r>
    </w:p>
    <w:p w14:paraId="6B039F90" w14:textId="77777777" w:rsidR="009E295C" w:rsidRPr="009E295C" w:rsidRDefault="003A3E4A" w:rsidP="009E295C">
      <w:r w:rsidRPr="009E295C">
        <w:t xml:space="preserve">De eerste stap was een ambitieuze maar niet succesvolle poging in het begin van de jaren vijftig om tot een Europese </w:t>
      </w:r>
      <w:r w:rsidR="00C65AC8" w:rsidRPr="009E295C">
        <w:t>d</w:t>
      </w:r>
      <w:r w:rsidRPr="009E295C">
        <w:t>efensiegemeenschap tussen de zes oprichtende staten van de Europese Unie te komen. Vervolgens kwam er een proces dat men</w:t>
      </w:r>
      <w:r w:rsidR="000A76FF" w:rsidRPr="009E295C">
        <w:t xml:space="preserve"> </w:t>
      </w:r>
      <w:r w:rsidR="008F47CB" w:rsidRPr="009E295C">
        <w:t>„</w:t>
      </w:r>
      <w:r w:rsidRPr="009E295C">
        <w:t>Europese politieke samenwerking</w:t>
      </w:r>
      <w:r w:rsidR="00E51713" w:rsidRPr="009E295C">
        <w:t>”</w:t>
      </w:r>
      <w:r w:rsidR="00553A08" w:rsidRPr="009E295C">
        <w:t xml:space="preserve"> </w:t>
      </w:r>
      <w:r w:rsidRPr="009E295C">
        <w:t>noemde, in 1970 begonnen, en bedoeld om de posities van lidstaten over de actuele kwesties van het buitenlands beleid te coördineren. De EU-landen hebben daar waar zij dat konden, gemeenschappelijke verklaringen naar buiten gebracht. Maar voor bijzonder gevoelige zaken was het niet altijd mogelijk om tot de vereiste eenstemmige beslissing te komen.</w:t>
      </w:r>
    </w:p>
    <w:p w14:paraId="050D37A3" w14:textId="77777777" w:rsidR="009E295C" w:rsidRPr="009E295C" w:rsidRDefault="003A3E4A" w:rsidP="009E295C">
      <w:r w:rsidRPr="009E295C">
        <w:t>In de laatste 15 jaar heeft de Unie zich nog meer ingespannen om een internationale rol op het gebied van politiek en veiligheid te spelen die meer met haar economische status overeenkomt. De conflicten die in Europa zijn uitgebroken nadat in 1989 de Berlijnse Muur was gevallen, deden de Europese leiders inzien dat zij meer gemeenschappelijk en daadwerkelijk moesten optreden. En onlangs heeft de bestrijding van het internationaal terrorisme deze overtuiging nog versterkt.</w:t>
      </w:r>
    </w:p>
    <w:p w14:paraId="671C1BB0" w14:textId="77777777" w:rsidR="009E295C" w:rsidRPr="009E295C" w:rsidRDefault="003A3E4A" w:rsidP="009E295C">
      <w:pPr>
        <w:pStyle w:val="Kop2"/>
      </w:pPr>
      <w:r w:rsidRPr="009E295C">
        <w:t>De lessen uit de Balkan</w:t>
      </w:r>
    </w:p>
    <w:p w14:paraId="3C5F26F9" w14:textId="77777777" w:rsidR="009E295C" w:rsidRPr="009E295C" w:rsidRDefault="003A3E4A" w:rsidP="009E295C">
      <w:r w:rsidRPr="009E295C">
        <w:t xml:space="preserve">Bij het Verdrag van Maastricht werd in 1992 het beginsel van een </w:t>
      </w:r>
      <w:r w:rsidR="00C65AC8" w:rsidRPr="009E295C">
        <w:t>g</w:t>
      </w:r>
      <w:r w:rsidRPr="009E295C">
        <w:t xml:space="preserve">emeenschappelijk </w:t>
      </w:r>
      <w:r w:rsidR="00C65AC8" w:rsidRPr="009E295C">
        <w:t>b</w:t>
      </w:r>
      <w:r w:rsidRPr="009E295C">
        <w:t xml:space="preserve">uitenlands en </w:t>
      </w:r>
      <w:r w:rsidR="00C65AC8" w:rsidRPr="009E295C">
        <w:t>v</w:t>
      </w:r>
      <w:r w:rsidRPr="009E295C">
        <w:t>eiligheidsbeleid (GBVB) geformaliseerd. Slechts een paar maanden daarna brak er in voormalig Joegoslavië oorlog uit. De Europese Unie heeft zonder succes geprobeerd te bemiddelen voor een politieke oplossing van de crisis. Aangezien de EU zelf niet over militaire strijdkrachten beschikte, konden haar lidstaten alleen tussenbeide komen als onderdeel van militaire inzet van de VN of van de NAVO die dan vervolgens naar de regio werd gestuurd.</w:t>
      </w:r>
    </w:p>
    <w:p w14:paraId="2966F7D9" w14:textId="77777777" w:rsidR="009E295C" w:rsidRPr="009E295C" w:rsidRDefault="003A3E4A" w:rsidP="009E295C">
      <w:r w:rsidRPr="009E295C">
        <w:t xml:space="preserve">De lessen uit deze ervaring zijn niet verloren gegaan. De EU heeft in het licht van de oorlogen op de Balkan en van conflicten in Afrika in de jaren negentig, een Europees </w:t>
      </w:r>
      <w:r w:rsidR="008C43CE" w:rsidRPr="009E295C">
        <w:t>v</w:t>
      </w:r>
      <w:r w:rsidRPr="009E295C">
        <w:t xml:space="preserve">eiligheids- en </w:t>
      </w:r>
      <w:r w:rsidR="008C43CE" w:rsidRPr="009E295C">
        <w:t>d</w:t>
      </w:r>
      <w:r w:rsidRPr="009E295C">
        <w:t xml:space="preserve">efensiebeleid (EVDB) opgesteld, binnen het algemene raamwerk van </w:t>
      </w:r>
      <w:r w:rsidR="00C65AC8" w:rsidRPr="009E295C">
        <w:t>het</w:t>
      </w:r>
      <w:r w:rsidRPr="009E295C">
        <w:t xml:space="preserve"> GBVB.</w:t>
      </w:r>
    </w:p>
    <w:p w14:paraId="6E3F0E0E" w14:textId="77777777" w:rsidR="009E295C" w:rsidRPr="009E295C" w:rsidRDefault="003A3E4A" w:rsidP="009E295C">
      <w:r w:rsidRPr="009E295C">
        <w:t>Volgens dit EVDB kunnen militaire of politie-eenheden naar crisisgebieden worden gestuurd voor de uitvoering van humanitaire operaties, vredeshandhaving, crisisbeheer of zelfs vredestichting. Het militair optreden wordt uitgevoerd door een snellereactiemacht van de EU, weliswaar gescheiden van de NAVO maar met toegang tot de hulpmiddelen ervan.</w:t>
      </w:r>
    </w:p>
    <w:p w14:paraId="040B2135" w14:textId="77777777" w:rsidR="009E295C" w:rsidRPr="009E295C" w:rsidRDefault="003A3E4A" w:rsidP="009E295C">
      <w:r w:rsidRPr="009E295C">
        <w:t xml:space="preserve">De eerste krachtens het EVDB uitgevoerde missies waren in voormalig Joegoslavië, het toneel van eerdere frustraties van EU-zijde. Een EU-politiemissie kwam in januari 2003 in </w:t>
      </w:r>
      <w:r w:rsidR="00156F7E" w:rsidRPr="009E295C">
        <w:t>Bosnië-Herzegovina</w:t>
      </w:r>
      <w:r w:rsidRPr="009E295C">
        <w:t xml:space="preserve"> in de plaats van een taskforce van VN-politieofficieren, terwijl drie maanden later in de Voormalige Joegoslavische Republiek Macedonië een militaire eenheid van de EU in de plaats kwam van NAVO-eenheden.</w:t>
      </w:r>
    </w:p>
    <w:p w14:paraId="3A0593F2" w14:textId="77777777" w:rsidR="009E295C" w:rsidRPr="009E295C" w:rsidRDefault="003A3E4A" w:rsidP="009E295C">
      <w:pPr>
        <w:pStyle w:val="Kop2"/>
      </w:pPr>
      <w:r w:rsidRPr="009E295C">
        <w:t>Actie tegen landmijnen</w:t>
      </w:r>
    </w:p>
    <w:p w14:paraId="03096C68" w14:textId="77777777" w:rsidR="009E295C" w:rsidRPr="009E295C" w:rsidRDefault="003A3E4A" w:rsidP="009E295C">
      <w:r w:rsidRPr="009E295C">
        <w:t>In december 1997 hebben 122 landen in de Canadese hoofdstad Ottawa het Antipersoneelsmijnenverdrag ondertekend. Hiermee worden het gebruik, de productie, de overdracht en het opslaan van antipersoneelsmijnen verboden. Het werd op 1</w:t>
      </w:r>
      <w:r w:rsidR="001A434C" w:rsidRPr="009E295C">
        <w:t xml:space="preserve"> </w:t>
      </w:r>
      <w:r w:rsidRPr="009E295C">
        <w:t>maart 1999 bindend internationaal recht.</w:t>
      </w:r>
    </w:p>
    <w:p w14:paraId="1B907BD2" w14:textId="77777777" w:rsidR="009E295C" w:rsidRPr="009E295C" w:rsidRDefault="003A3E4A" w:rsidP="009E295C">
      <w:r w:rsidRPr="009E295C">
        <w:lastRenderedPageBreak/>
        <w:t xml:space="preserve">Internationale acties tegen personeelsmijnen helpen de wereldvrede en </w:t>
      </w:r>
      <w:r w:rsidR="006E4F1C" w:rsidRPr="009E295C">
        <w:t>-</w:t>
      </w:r>
      <w:r w:rsidRPr="009E295C">
        <w:t>stabiliteit te bevorderen en verkleinen het menselijk lijden in door personeelsmijnen verziekte regio</w:t>
      </w:r>
      <w:r w:rsidR="004C6AA5" w:rsidRPr="009E295C">
        <w:t>’</w:t>
      </w:r>
      <w:r w:rsidRPr="009E295C">
        <w:t>s. Het blijft een topprioriteit voor de Europese Unie, die hiertoe alleen al in de jaren 2000-2002 zo</w:t>
      </w:r>
      <w:r w:rsidR="004C6AA5" w:rsidRPr="009E295C">
        <w:t>’</w:t>
      </w:r>
      <w:r w:rsidRPr="009E295C">
        <w:t>n 40 miljoen euro heeft bijgedragen.</w:t>
      </w:r>
    </w:p>
    <w:p w14:paraId="10EAD6F3" w14:textId="77777777" w:rsidR="009E295C" w:rsidRPr="009E295C" w:rsidRDefault="003A3E4A" w:rsidP="009E295C">
      <w:r w:rsidRPr="009E295C">
        <w:rPr>
          <w:lang w:val="nl-BE"/>
        </w:rPr>
        <w:t xml:space="preserve">De afgelopen jaren zijn er pogingen ondernomen om de manier waarop besluiten inzake het GBVB worden genomen, te stroomlijnen. </w:t>
      </w:r>
      <w:r w:rsidRPr="009E295C">
        <w:t xml:space="preserve">Voor de belangrijkste beslissingen moet echter nog steeds bij eenstemmigheid worden besloten </w:t>
      </w:r>
      <w:r w:rsidR="005A15CD" w:rsidRPr="009E295C">
        <w:t>—</w:t>
      </w:r>
      <w:r w:rsidRPr="009E295C">
        <w:t xml:space="preserve"> hetgeen moeilijk was met 15 EU-leden en nu met 25 leden nog moeilijker is. Ondanks hun toezeggingen aan het GBVB vinden de regeringen van de lidstaten het soms nog moeilijk hun eigen nationaal beleid in te ruilen voor EU-solidariteit. Hoe moeilijk dit kan zijn mag blijken uit de geweldige verdeeldheid onder de EU-lidstaten in het voorjaar van 2003, over de vraag of de Veiligheidsraad van de VN de door de VS aangevoerde oorlog tegen Irak zou mogen goedkeuren.</w:t>
      </w:r>
    </w:p>
    <w:p w14:paraId="1C44E07A" w14:textId="77777777" w:rsidR="009E295C" w:rsidRPr="009E295C" w:rsidRDefault="003A3E4A" w:rsidP="009E295C">
      <w:r w:rsidRPr="009E295C">
        <w:t>Gedurende een topconferentie in december 2003 hebben de EU-prominenten een veiligheidsstrategie voor Europa aangenomen. Hierin wordt erkend dat de burgers in Europa en elders potentieel gevaar lopen door terrorisme, de verspreiding van massavernietigingswapens en illegale immigratie. Elke soort dreiging vereist een aangepaste reactie, waarvoor vaak internationaal moet worden samengewerkt.</w:t>
      </w:r>
    </w:p>
    <w:p w14:paraId="196464A4" w14:textId="77777777" w:rsidR="009E295C" w:rsidRPr="009E295C" w:rsidRDefault="003A3E4A" w:rsidP="009E295C">
      <w:pPr>
        <w:pStyle w:val="Kop2"/>
      </w:pPr>
      <w:r w:rsidRPr="009E295C">
        <w:t>Voorkomen is beter dan genezen</w:t>
      </w:r>
    </w:p>
    <w:p w14:paraId="3B75A385" w14:textId="77777777" w:rsidR="009E295C" w:rsidRPr="009E295C" w:rsidRDefault="003A3E4A" w:rsidP="009E295C">
      <w:r w:rsidRPr="009E295C">
        <w:t>Gewelddadige geschillen leiden tot onaanvaardbaar menselijk lijden, vernietiging en verspilling van hulpmiddelen. In de jaren negentig hebben zeven gewelddadige conflicten verspreid over de wereld de internationale gemeenschap 200 miljard euro gekost die anders voor vreedzame doeleinden hadden kunnen worden ingezet. Daarom is de Europese Unie vastbesloten daadkrachtiger op te treden om allereerst te voorkomen dat deze conflicten ontstaan.</w:t>
      </w:r>
    </w:p>
    <w:p w14:paraId="2B0F0B25" w14:textId="77777777" w:rsidR="009E295C" w:rsidRPr="009E295C" w:rsidRDefault="003A3E4A" w:rsidP="009E295C">
      <w:r w:rsidRPr="009E295C">
        <w:t>De EU gebruikt hiertoe al een hele reeks traditionele instrumenten, waaronder technische en financiële bijstand aan ontwikkelingslanden, economische samenwerking en handelsbetrekkingen, humanitaire hulp, sociale en milieubeleidsinstrumenten, maar ook diplomatieke middelen zoals de politieke dialoog en bemiddeling. Daarnaast zet zij ook nieuwe hulpmiddelen in zoals die van het EVDB, bijvoorbeeld het inwinnen van inlichtingen en het toezien bij internationale overeenkomsten om potentiële conflicten vóór te zijn.</w:t>
      </w:r>
    </w:p>
    <w:p w14:paraId="7B2B5E82" w14:textId="77777777" w:rsidR="009E295C" w:rsidRPr="009E295C" w:rsidRDefault="003A3E4A" w:rsidP="009E295C">
      <w:r w:rsidRPr="009E295C">
        <w:t>In een wereld waarin</w:t>
      </w:r>
      <w:r w:rsidR="000A76FF" w:rsidRPr="009E295C">
        <w:t xml:space="preserve"> </w:t>
      </w:r>
      <w:r w:rsidR="008F47CB" w:rsidRPr="009E295C">
        <w:t>„</w:t>
      </w:r>
      <w:r w:rsidRPr="009E295C">
        <w:t>macht</w:t>
      </w:r>
      <w:r w:rsidR="00E51713" w:rsidRPr="009E295C">
        <w:t>”</w:t>
      </w:r>
      <w:r w:rsidR="00553A08" w:rsidRPr="009E295C">
        <w:t xml:space="preserve"> </w:t>
      </w:r>
      <w:r w:rsidRPr="009E295C">
        <w:t>niet langer ook</w:t>
      </w:r>
      <w:r w:rsidR="000A76FF" w:rsidRPr="009E295C">
        <w:t xml:space="preserve"> </w:t>
      </w:r>
      <w:r w:rsidR="008F47CB" w:rsidRPr="009E295C">
        <w:t>„</w:t>
      </w:r>
      <w:r w:rsidRPr="009E295C">
        <w:t>veiligheid</w:t>
      </w:r>
      <w:r w:rsidR="00E51713" w:rsidRPr="009E295C">
        <w:t>”</w:t>
      </w:r>
      <w:r w:rsidR="00553A08" w:rsidRPr="009E295C">
        <w:t xml:space="preserve"> </w:t>
      </w:r>
      <w:r w:rsidRPr="009E295C">
        <w:t xml:space="preserve">betekent, moet de EU in staat zijn om snel in te spelen op specifieke toestanden, daar waar die zich voordoen </w:t>
      </w:r>
      <w:r w:rsidR="005A15CD" w:rsidRPr="009E295C">
        <w:t>—</w:t>
      </w:r>
      <w:r w:rsidRPr="009E295C">
        <w:t xml:space="preserve"> en met de juiste combinatie van instrumenten.</w:t>
      </w:r>
    </w:p>
    <w:p w14:paraId="49D599C9" w14:textId="77777777" w:rsidR="009E295C" w:rsidRPr="009E295C" w:rsidRDefault="003A3E4A" w:rsidP="009E295C">
      <w:pPr>
        <w:pStyle w:val="Kop1"/>
        <w:rPr>
          <w:lang w:val="nl-BE"/>
        </w:rPr>
      </w:pPr>
      <w:r w:rsidRPr="009E295C">
        <w:rPr>
          <w:lang w:val="nl-BE"/>
        </w:rPr>
        <w:t>Handel helpt</w:t>
      </w:r>
    </w:p>
    <w:p w14:paraId="227997E7" w14:textId="77777777" w:rsidR="009E295C" w:rsidRPr="009E295C" w:rsidRDefault="003A3E4A" w:rsidP="009E295C">
      <w:r w:rsidRPr="009E295C">
        <w:rPr>
          <w:lang w:val="nl-BE"/>
        </w:rPr>
        <w:t>De Europese Unie is het grootste handelsblok ter wereld, met 20</w:t>
      </w:r>
      <w:r w:rsidR="005206C9" w:rsidRPr="009E295C">
        <w:rPr>
          <w:lang w:val="nl-BE"/>
        </w:rPr>
        <w:t> </w:t>
      </w:r>
      <w:r w:rsidR="00315731" w:rsidRPr="009E295C">
        <w:rPr>
          <w:lang w:val="nl-BE"/>
        </w:rPr>
        <w:t>%</w:t>
      </w:r>
      <w:r w:rsidRPr="009E295C">
        <w:rPr>
          <w:lang w:val="nl-BE"/>
        </w:rPr>
        <w:t xml:space="preserve"> van de wereldinvoer en </w:t>
      </w:r>
      <w:r w:rsidRPr="009E295C">
        <w:rPr>
          <w:lang w:val="nl-BE"/>
        </w:rPr>
        <w:noBreakHyphen/>
        <w:t xml:space="preserve">uitvoer. </w:t>
      </w:r>
      <w:r w:rsidRPr="009E295C">
        <w:t>Vrije handel tussen haar lidstaten was een kernpunt toen met de EU, ongeveer 50 jaar geleden, werd begonnen: het heeft alle lidstaten een groeiende welvaart gebracht. De Unie gaat daarom voorop in het streven de wereldhandel zowel voor de rijke als de arme landen op gelijke wijze open te stellen.</w:t>
      </w:r>
    </w:p>
    <w:p w14:paraId="2DC53144" w14:textId="77777777" w:rsidR="009E295C" w:rsidRPr="009E295C" w:rsidRDefault="003A3E4A" w:rsidP="009E295C">
      <w:r w:rsidRPr="009E295C">
        <w:t xml:space="preserve">Meer handel zal ten voordele van iedereen de economische groei in de wereld duidelijk stimuleren. De consumenten zullen een ruimere keuze krijgen. De concurrentie tussen de ingevoerde en de plaatselijke producten brengt de prijzen omlaag en verhoogt de kwaliteit van het gebodene. De EU denkt dat globalisering economische voordelen voor iedereen kan </w:t>
      </w:r>
      <w:r w:rsidRPr="009E295C">
        <w:lastRenderedPageBreak/>
        <w:t>brengen, ook voor de ontwikkelingslanden, als er op multilateraal niveau maar passende regels worden aangenomen en men zich inspant om de ontwikkelingslanden volledig op te nemen in het geheel van de wereldhandel.</w:t>
      </w:r>
    </w:p>
    <w:p w14:paraId="00FFC7F6" w14:textId="77777777" w:rsidR="009E295C" w:rsidRPr="009E295C" w:rsidRDefault="003A3E4A" w:rsidP="009E295C">
      <w:r w:rsidRPr="009E295C">
        <w:t>Daarom onderhandelt de Europese Unie met haar partners over het openstellen van de handel zowel voor goederen als voor diensten. De EU wil ontwikkelingslanden helpen door h</w:t>
      </w:r>
      <w:r w:rsidR="00967577" w:rsidRPr="009E295C">
        <w:t>u</w:t>
      </w:r>
      <w:r w:rsidRPr="009E295C">
        <w:t>n op korte termijn gemakkelijker toegang tot haar markt te bieden en h</w:t>
      </w:r>
      <w:r w:rsidR="00967577" w:rsidRPr="009E295C">
        <w:t>u</w:t>
      </w:r>
      <w:r w:rsidRPr="009E295C">
        <w:t>n meer tijd te geven om hun eigen markten voor Europese producten open te stellen. Terzelfder</w:t>
      </w:r>
      <w:r w:rsidR="00A76DE2" w:rsidRPr="009E295C">
        <w:t xml:space="preserve"> </w:t>
      </w:r>
      <w:r w:rsidRPr="009E295C">
        <w:t xml:space="preserve">tijd voert de EU een hervorming van haar landbouwbeleid door </w:t>
      </w:r>
      <w:r w:rsidR="00A76DE2" w:rsidRPr="009E295C">
        <w:t>—</w:t>
      </w:r>
      <w:r w:rsidRPr="009E295C">
        <w:t xml:space="preserve"> hetgeen ook ten voordele van de ontwikkelingslanden zal zijn.</w:t>
      </w:r>
    </w:p>
    <w:p w14:paraId="6FA6DC11" w14:textId="77777777" w:rsidR="009E295C" w:rsidRPr="009E295C" w:rsidRDefault="003A3E4A" w:rsidP="009E295C">
      <w:pPr>
        <w:pStyle w:val="Kop2"/>
      </w:pPr>
      <w:r w:rsidRPr="009E295C">
        <w:t>Een teamspeler</w:t>
      </w:r>
    </w:p>
    <w:p w14:paraId="6F555EC0" w14:textId="77777777" w:rsidR="009E295C" w:rsidRPr="009E295C" w:rsidRDefault="003A3E4A" w:rsidP="009E295C">
      <w:r w:rsidRPr="009E295C">
        <w:t>Voor een teamsport zijn eerlijke spelregels nodig, regels die alle ploegen aanvaarden, maar ook een scheidsrechter om ervoor in te staan dat er eerlijk wordt gespeeld. Daarom is de EU een krachtig voorstander van de Wereldhandelsorganisatie (WTO) die een reeks regels heeft opgesteld om de wereldhandel te helpen openstellen en ervoor te zorgen dat alle deelnemers een eerlijke behandeling krijgen. Hoewel niet te ontkennen valt dat het systeem verbeterd moet worden, biedt het een mate van rechtszekerheid en openheid in de wijze waarop de internationale handel plaatsvindt. Bovendien biedt de WTO een procedure voor geschillenbeslechting ingeval tussen twee of meer handelspartners onmin ontstaat.</w:t>
      </w:r>
    </w:p>
    <w:p w14:paraId="3920EAC1" w14:textId="77777777" w:rsidR="009E295C" w:rsidRPr="009E295C" w:rsidRDefault="003A3E4A" w:rsidP="009E295C">
      <w:r w:rsidRPr="009E295C">
        <w:t xml:space="preserve">De EU is in de achtereenvolgende ronden van de multilaterale besprekingen die de wereldhandel wilden openbreken, een belangrijke speler geworden. De lopende onderhandelingsronde die bekendstaat als de </w:t>
      </w:r>
      <w:r w:rsidR="00A84B68" w:rsidRPr="009E295C">
        <w:t>O</w:t>
      </w:r>
      <w:r w:rsidRPr="009E295C">
        <w:t>ntwikkelingsronde van Doha en die in 2001 is begonnen, vindt zij van groot belang. De bedoeling is om hindernissen voor een open handel uit de weg te ruimen, vooral ten behoeve van ontwikkelingslanden.</w:t>
      </w:r>
    </w:p>
    <w:p w14:paraId="3EDAC375" w14:textId="77777777" w:rsidR="009E295C" w:rsidRPr="009E295C" w:rsidRDefault="003A3E4A" w:rsidP="009E295C">
      <w:pPr>
        <w:pStyle w:val="Kop2"/>
      </w:pPr>
      <w:r w:rsidRPr="009E295C">
        <w:t>Handel is meer dan Doha</w:t>
      </w:r>
    </w:p>
    <w:p w14:paraId="69893512" w14:textId="77777777" w:rsidR="009E295C" w:rsidRPr="009E295C" w:rsidRDefault="003A3E4A" w:rsidP="009E295C">
      <w:r w:rsidRPr="009E295C">
        <w:t xml:space="preserve">Handelsregels zijn multilateraal terwijl de handel zelf bilateraal plaatsvindt </w:t>
      </w:r>
      <w:r w:rsidR="00A76DE2" w:rsidRPr="009E295C">
        <w:t>—</w:t>
      </w:r>
      <w:r w:rsidRPr="009E295C">
        <w:t xml:space="preserve"> tussen kopers en verkopers, exporteurs en importeurs. Om die reden heeft de Europese Unie een heel netwerk van bilaterale handelsovereenkomsten met individuele landen en regio</w:t>
      </w:r>
      <w:r w:rsidR="004C6AA5" w:rsidRPr="009E295C">
        <w:t>’</w:t>
      </w:r>
      <w:r w:rsidRPr="009E295C">
        <w:t>s over de hele wereld ontwikkeld. De uitbreiding van de EU van 15 naar 25 leden in 2004 geeft haar nog meer gewicht als handelspartner, vooral ten opzichte van de buurlanden in Oost-Europa en die elders aan de Middellandse Zee.</w:t>
      </w:r>
    </w:p>
    <w:p w14:paraId="4FC5DE03" w14:textId="77777777" w:rsidR="009E295C" w:rsidRPr="009E295C" w:rsidRDefault="003A3E4A" w:rsidP="009E295C">
      <w:r w:rsidRPr="009E295C">
        <w:t>Het handelsbeleid van de EU is nauw verweven met haar ontwikkelingsbeleid: de Unie neemt haar verantwoordelijkheid op zich om ontwikkelingslanden te helpen bij armoedebestrijding en bij hun integratie in de wereldeconomie.</w:t>
      </w:r>
    </w:p>
    <w:p w14:paraId="74E2F732" w14:textId="77777777" w:rsidR="009E295C" w:rsidRPr="009E295C" w:rsidRDefault="003A3E4A" w:rsidP="009E295C">
      <w:r w:rsidRPr="009E295C">
        <w:t>Zij heeft reeds lang ingezien dat handel de economische groei en productieve vermogens van arme landen een flinke zet kan geven. Al in 1997 is de EU met het</w:t>
      </w:r>
      <w:r w:rsidR="000A76FF" w:rsidRPr="009E295C">
        <w:t xml:space="preserve"> </w:t>
      </w:r>
      <w:r w:rsidR="008F47CB" w:rsidRPr="009E295C">
        <w:t>„</w:t>
      </w:r>
      <w:r w:rsidRPr="009E295C">
        <w:t>systeem van algemene preferenties</w:t>
      </w:r>
      <w:r w:rsidR="00E51713" w:rsidRPr="009E295C">
        <w:t>”</w:t>
      </w:r>
      <w:r w:rsidR="00553A08" w:rsidRPr="009E295C">
        <w:t xml:space="preserve"> </w:t>
      </w:r>
      <w:r w:rsidRPr="009E295C">
        <w:t>(SAP) begonnen tarieven en quota</w:t>
      </w:r>
      <w:r w:rsidR="004C6AA5" w:rsidRPr="009E295C">
        <w:t>’</w:t>
      </w:r>
      <w:r w:rsidRPr="009E295C">
        <w:t>s op haar invoer uit ontwikkelingslanden te verlagen of af te schaffen. Bovendien verleent de Unie via haar initiatief van 2001</w:t>
      </w:r>
      <w:r w:rsidR="000A76FF" w:rsidRPr="009E295C">
        <w:t xml:space="preserve"> </w:t>
      </w:r>
      <w:r w:rsidR="008F47CB" w:rsidRPr="009E295C">
        <w:t>„</w:t>
      </w:r>
      <w:r w:rsidRPr="009E295C">
        <w:t>Alles behalve wapens</w:t>
      </w:r>
      <w:r w:rsidR="00E51713" w:rsidRPr="009E295C">
        <w:t>”</w:t>
      </w:r>
      <w:r w:rsidR="00553A08" w:rsidRPr="009E295C">
        <w:t xml:space="preserve"> </w:t>
      </w:r>
      <w:r w:rsidRPr="009E295C">
        <w:t>aan de 49 minst ontwikkelde landen vrije toegang tot de markt van de EU voor al hun producten, met uitzondering van wapens.</w:t>
      </w:r>
    </w:p>
    <w:p w14:paraId="42323EC3" w14:textId="77777777" w:rsidR="009E295C" w:rsidRPr="009E295C" w:rsidRDefault="003A3E4A" w:rsidP="009E295C">
      <w:r w:rsidRPr="009E295C">
        <w:t>De speciale handels- en hulprelatie tussen de Unie en haar 78 partners in Afrika, het Car</w:t>
      </w:r>
      <w:r w:rsidR="00A76DE2" w:rsidRPr="009E295C">
        <w:t>i</w:t>
      </w:r>
      <w:r w:rsidRPr="009E295C">
        <w:t>bisch gebied en de Stille Oceaan (de ACS-groep) dateert van 1975 en wordt als een model gezien voor hoe rijke landen de arme landen kunnen helpen.</w:t>
      </w:r>
    </w:p>
    <w:p w14:paraId="1C9E9396" w14:textId="77777777" w:rsidR="009E295C" w:rsidRPr="009E295C" w:rsidRDefault="003A3E4A" w:rsidP="009E295C">
      <w:pPr>
        <w:pStyle w:val="Kop1"/>
        <w:rPr>
          <w:lang w:val="nl-BE"/>
        </w:rPr>
      </w:pPr>
      <w:r w:rsidRPr="009E295C">
        <w:rPr>
          <w:lang w:val="nl-BE"/>
        </w:rPr>
        <w:lastRenderedPageBreak/>
        <w:t>Armoedebestrijding door duurzame ontwikkeling</w:t>
      </w:r>
    </w:p>
    <w:p w14:paraId="0A90A5AE" w14:textId="77777777" w:rsidR="009E295C" w:rsidRPr="009E295C" w:rsidRDefault="003A3E4A" w:rsidP="009E295C">
      <w:r w:rsidRPr="009E295C">
        <w:rPr>
          <w:lang w:val="nl-BE"/>
        </w:rPr>
        <w:t xml:space="preserve">Ongeveer de helft van al het geld dat voor hulp aan de arme landen wordt uitgegeven is afkomstig van de Europese Unie of van haar afzonderlijke lidstaten. </w:t>
      </w:r>
      <w:r w:rsidRPr="009E295C">
        <w:t>Daarmee is de EU de grootste hulpdonor ter wereld. Helpen bij ontwikkeling is echter niet alleen het leveren van schoon water en van geplaveide wegen, hoe belangrijk dat ook is, het is ook de ontwikkelingslanden helpen hun handelsresultaten te verbeteren door h</w:t>
      </w:r>
      <w:r w:rsidR="00A84B68" w:rsidRPr="009E295C">
        <w:t>u</w:t>
      </w:r>
      <w:r w:rsidRPr="009E295C">
        <w:t>n betere toegang tot de markt van de EU te bieden. Daarmee kunnen ze hun externe handel uitbouwen en ontwikkelen en aldus voordeel trekken van de globalisering.</w:t>
      </w:r>
    </w:p>
    <w:p w14:paraId="6A30C2EC" w14:textId="77777777" w:rsidR="009E295C" w:rsidRPr="009E295C" w:rsidRDefault="003A3E4A" w:rsidP="009E295C">
      <w:r w:rsidRPr="009E295C">
        <w:t>Niet alle landen zijn daarin geslaagd. Hoewel de landen van Afrika, de Car</w:t>
      </w:r>
      <w:r w:rsidR="00E42979" w:rsidRPr="009E295C">
        <w:t>i</w:t>
      </w:r>
      <w:r w:rsidRPr="009E295C">
        <w:t>ben en de Stille Oceaan (ACS) met de Europese Unie speciale betrekkingen onderhouden, is hun aandeel op de markt van de EU blijven teruglopen en zijn zij in de wereldhandel steeds meer aan de kant komen te staan.</w:t>
      </w:r>
    </w:p>
    <w:p w14:paraId="6BB2D935" w14:textId="77777777" w:rsidR="009E295C" w:rsidRPr="009E295C" w:rsidRDefault="003A3E4A" w:rsidP="009E295C">
      <w:r w:rsidRPr="009E295C">
        <w:t>Daarom is het ontwikkelingsbeleid van de EU er ook op gericht arme landen te helpen hun infrastructuur te verbeteren, hun productief potentieel te ontwikkelen en hun openbaar bestuur en hun openbare instellingen beter te laten werken. Met dit soort hulp zullen enkele landen de handelsmogelijkheden kunnen benutten en meer binnenlandse investeringen kunnen aantrekken om hun economische basis te verbreden. Om het landen mogelijk te maken zich in de wereldeconomie in te passen en duurzame groei en ontwikkeling te bereiken is dit van wezenlijk belang.</w:t>
      </w:r>
    </w:p>
    <w:p w14:paraId="4743C1A9" w14:textId="77777777" w:rsidR="009E295C" w:rsidRPr="009E295C" w:rsidRDefault="003A3E4A" w:rsidP="009E295C">
      <w:r w:rsidRPr="009E295C">
        <w:t>Meer in het bijzonder is de Unie in de nieuwe generatie van</w:t>
      </w:r>
      <w:r w:rsidR="000A76FF" w:rsidRPr="009E295C">
        <w:t xml:space="preserve"> </w:t>
      </w:r>
      <w:r w:rsidR="008F47CB" w:rsidRPr="009E295C">
        <w:t>„</w:t>
      </w:r>
      <w:r w:rsidRPr="009E295C">
        <w:t>economische partnerschapsovereenkomsten</w:t>
      </w:r>
      <w:r w:rsidR="00E51713" w:rsidRPr="009E295C">
        <w:t>”</w:t>
      </w:r>
      <w:r w:rsidR="00553A08" w:rsidRPr="009E295C">
        <w:t xml:space="preserve"> </w:t>
      </w:r>
      <w:r w:rsidRPr="009E295C">
        <w:t>(waarover momenteel met de ACS-landen wordt onderhandeld en die tegen 2008 in werking moeten kunnen treden) handel en hulp op een nieuwe manier aan het combineren. De gedachte is de ACS-landen te helpen zich met hun regionale buurlanden te integreren als een eerste stap op weg naar globale integratie, en hen te helpen goede instellingen op te bouwen en beginselen van goed bestuur toe te passen. De EU zal terzelfder</w:t>
      </w:r>
      <w:r w:rsidR="00E42979" w:rsidRPr="009E295C">
        <w:t xml:space="preserve"> </w:t>
      </w:r>
      <w:r w:rsidRPr="009E295C">
        <w:t>tijd haar markten blijven openhouden voor producten van de ACS-groep en andere ontwikkelingslanden.</w:t>
      </w:r>
    </w:p>
    <w:p w14:paraId="0D695088" w14:textId="77777777" w:rsidR="009E295C" w:rsidRPr="009E295C" w:rsidRDefault="003A3E4A" w:rsidP="009E295C">
      <w:pPr>
        <w:pStyle w:val="Kop2"/>
      </w:pPr>
      <w:r w:rsidRPr="009E295C">
        <w:t>Diepe zakken</w:t>
      </w:r>
    </w:p>
    <w:p w14:paraId="1C43269C" w14:textId="77777777" w:rsidR="009E295C" w:rsidRPr="009E295C" w:rsidRDefault="003A3E4A" w:rsidP="009E295C">
      <w:r w:rsidRPr="009E295C">
        <w:t>De Europese Unie en haar lidstaten betalen aan de ontwikkelingslanden in officiële hulp meer dan 30 miljard euro per jaar, en daarvan loopt ongeveer 6 miljard euro via de instellingen van de EU. De EU heeft zich erop vastgelegd tegen 2006 jaarlijks in totaal 39 miljard euro bijeen te brengen. Ofschoon de EU-lidstaten, net als andere geïndustrialiseerde landen, als richtsnoer het uitgeven van 0,7</w:t>
      </w:r>
      <w:r w:rsidR="005206C9" w:rsidRPr="009E295C">
        <w:t> </w:t>
      </w:r>
      <w:r w:rsidR="00315731" w:rsidRPr="009E295C">
        <w:t>%</w:t>
      </w:r>
      <w:r w:rsidRPr="009E295C">
        <w:t xml:space="preserve"> van hun bruto nationaal product (BNP) aan hulp per jaar hebben aanvaard, hebben alleen Denemarken, Luxemburg, Nederland en Zweden deze doelstelling ook bereikt. De andere lidstaten hebben beloofd hiernaar te streven. Het gemiddelde bij de EU als geheel is 0,34</w:t>
      </w:r>
      <w:r w:rsidR="005206C9" w:rsidRPr="009E295C">
        <w:t> </w:t>
      </w:r>
      <w:r w:rsidR="00315731" w:rsidRPr="009E295C">
        <w:t>%</w:t>
      </w:r>
      <w:r w:rsidRPr="009E295C">
        <w:t>, hetgeen hoger is dan bij de Verenigde Staten of Japan.</w:t>
      </w:r>
    </w:p>
    <w:p w14:paraId="572CE0CC" w14:textId="77777777" w:rsidR="009E295C" w:rsidRPr="009E295C" w:rsidRDefault="003A3E4A" w:rsidP="009E295C">
      <w:pPr>
        <w:pStyle w:val="Kop2"/>
      </w:pPr>
      <w:r w:rsidRPr="009E295C">
        <w:t>Water om te leven</w:t>
      </w:r>
    </w:p>
    <w:p w14:paraId="6FB8DFCD" w14:textId="77777777" w:rsidR="009E295C" w:rsidRPr="009E295C" w:rsidRDefault="003A3E4A" w:rsidP="009E295C">
      <w:r w:rsidRPr="009E295C">
        <w:t>De toegang tot water en een eerlijke verdeling van grensoverschrijdende waterstromen zijn belangrijke kwesties in alle regio</w:t>
      </w:r>
      <w:r w:rsidR="004C6AA5" w:rsidRPr="009E295C">
        <w:t>’</w:t>
      </w:r>
      <w:r w:rsidRPr="009E295C">
        <w:t>s van de wereld en zullen tot de belangrijkste uitdagingen van de 21e eeuw op het gebied van de ontwikkelingssamenwerking behoren. Het in 2002 gelanceerde EU-initiatief Water voor leven heeft tot doel veilig water en goede waterzuivering voor de armste regio</w:t>
      </w:r>
      <w:r w:rsidR="004C6AA5" w:rsidRPr="009E295C">
        <w:t>’</w:t>
      </w:r>
      <w:r w:rsidRPr="009E295C">
        <w:t>s van de wereld te verzekeren, vooral in Afrika, maar ook in de Kaukasus en Midden-Azië, het Middellandse-Zeebekken en Latijns-Amerika. De Europese Unie heeft voor dit initiatief 1</w:t>
      </w:r>
      <w:r w:rsidR="001A434C" w:rsidRPr="009E295C">
        <w:t xml:space="preserve"> </w:t>
      </w:r>
      <w:r w:rsidRPr="009E295C">
        <w:t>miljard euro vrijgemaakt.</w:t>
      </w:r>
    </w:p>
    <w:p w14:paraId="226EB8AE" w14:textId="77777777" w:rsidR="009E295C" w:rsidRPr="009E295C" w:rsidRDefault="003A3E4A" w:rsidP="009E295C">
      <w:r w:rsidRPr="009E295C">
        <w:lastRenderedPageBreak/>
        <w:t>De EU wil uiteindelijk dat de mensen in de minder ontwikkelde landen controle over hun eigen ontwikkeling krijgen. Daarom wil zij allereerst de oorzaken van hun kwetsbaarheid aanpakken: zorgen voor beter voedsel en schoon water; het verbeteren van toegang tot onderwijs, gezondheidszorg, werk, landbezit en socialedienstverlening; het bieden van betere infrastructuur en een beter milieu. De initiatieven van de EU hebben ook tot doel ziekten uit te roeien en goedkope geneesmiddelen tegen plagen als HIV/</w:t>
      </w:r>
      <w:r w:rsidR="00E86941" w:rsidRPr="009E295C">
        <w:t>a</w:t>
      </w:r>
      <w:r w:rsidR="00ED3980" w:rsidRPr="009E295C">
        <w:t>ids</w:t>
      </w:r>
      <w:r w:rsidRPr="009E295C">
        <w:t xml:space="preserve"> bereikbaarder te maken. De EU wenst ook de schuldenlast voor de arme landen kleiner te maken.</w:t>
      </w:r>
    </w:p>
    <w:p w14:paraId="0CAFB2C5" w14:textId="77777777" w:rsidR="009E295C" w:rsidRPr="009E295C" w:rsidRDefault="003A3E4A" w:rsidP="009E295C">
      <w:r w:rsidRPr="009E295C">
        <w:t>De Unie erkent dat vrede een basisvoorwaarde voor duurzame ontwikkeling is en heeft er daarom in 2004 mee ingestemd een fonds van 250 miljoen euro op te zetten, de zogenaamde</w:t>
      </w:r>
      <w:r w:rsidR="000A76FF" w:rsidRPr="009E295C">
        <w:t xml:space="preserve"> </w:t>
      </w:r>
      <w:r w:rsidR="008F47CB" w:rsidRPr="009E295C">
        <w:t>„</w:t>
      </w:r>
      <w:r w:rsidRPr="009E295C">
        <w:t>vredesfaciliteit</w:t>
      </w:r>
      <w:r w:rsidR="00E51713" w:rsidRPr="009E295C">
        <w:t>”</w:t>
      </w:r>
      <w:r w:rsidR="000025FA" w:rsidRPr="009E295C">
        <w:t>,</w:t>
      </w:r>
      <w:r w:rsidRPr="009E295C">
        <w:t xml:space="preserve"> ter ondersteuning van vredeshandhaving en geschillenpreventie in Afrika.</w:t>
      </w:r>
    </w:p>
    <w:p w14:paraId="4B69F4F3" w14:textId="77777777" w:rsidR="009E295C" w:rsidRPr="009E295C" w:rsidRDefault="003A3E4A" w:rsidP="009E295C">
      <w:pPr>
        <w:pStyle w:val="Kop2"/>
        <w:rPr>
          <w:lang w:val="nl-BE"/>
        </w:rPr>
      </w:pPr>
      <w:r w:rsidRPr="009E295C">
        <w:rPr>
          <w:lang w:val="nl-BE"/>
        </w:rPr>
        <w:t>Humanitaire hulp</w:t>
      </w:r>
    </w:p>
    <w:p w14:paraId="3AE6EFC2" w14:textId="77777777" w:rsidR="009E295C" w:rsidRPr="009E295C" w:rsidRDefault="003A3E4A" w:rsidP="009E295C">
      <w:r w:rsidRPr="009E295C">
        <w:rPr>
          <w:lang w:val="nl-BE"/>
        </w:rPr>
        <w:t>Elke week krijgen wij wel beelden van natuurrampen of door de mens veroorzaakte catastrofes op televisie en op de voorpagina</w:t>
      </w:r>
      <w:r w:rsidR="004C6AA5" w:rsidRPr="009E295C">
        <w:rPr>
          <w:lang w:val="nl-BE"/>
        </w:rPr>
        <w:t>’</w:t>
      </w:r>
      <w:r w:rsidRPr="009E295C">
        <w:rPr>
          <w:lang w:val="nl-BE"/>
        </w:rPr>
        <w:t xml:space="preserve">s van de krant te zien. </w:t>
      </w:r>
      <w:r w:rsidRPr="009E295C">
        <w:t>De Europese Unie is de spil van een netwerk met als taak het menselijk lijden te verlichten dat door deze rampen wordt veroorzaakt. De humanitaire hulp van de EU gaat zonder voorwaarden: de bedoeling is de slachtoffers zo snel mogelijk hulp te brengen, zonder te letten op ras, religie of de politieke overtuigingen van hun regeringen.</w:t>
      </w:r>
    </w:p>
    <w:p w14:paraId="4888CB61" w14:textId="77777777" w:rsidR="009E295C" w:rsidRPr="009E295C" w:rsidRDefault="003A3E4A" w:rsidP="009E295C">
      <w:r w:rsidRPr="009E295C">
        <w:t>De EU is actief bij alle brandhaarden zoals Irak, Afghanistan, de Palestijnse gebieden en enkele delen van Afrika. Haar hulpinzet is wereldwijd en vindt vaak plaats in</w:t>
      </w:r>
      <w:r w:rsidR="000A76FF" w:rsidRPr="009E295C">
        <w:t xml:space="preserve"> </w:t>
      </w:r>
      <w:r w:rsidR="008F47CB" w:rsidRPr="009E295C">
        <w:t>„</w:t>
      </w:r>
      <w:r w:rsidRPr="009E295C">
        <w:t>vergeten</w:t>
      </w:r>
      <w:r w:rsidR="00E51713" w:rsidRPr="009E295C">
        <w:t>”</w:t>
      </w:r>
      <w:r w:rsidR="00553A08" w:rsidRPr="009E295C">
        <w:t xml:space="preserve"> </w:t>
      </w:r>
      <w:r w:rsidRPr="009E295C">
        <w:t>crisisgebieden die niet in de schijnwerpers van de internationale belangstelling staan. Dit geldt bijvoorbeeld voor de noordelijke Kaukasus (in het bijzonder Tsjetsjenië), Tadzjikistan in Midden-Azië, Nepal, Sri Lanka en Midden-Amerika.</w:t>
      </w:r>
    </w:p>
    <w:p w14:paraId="42EF2347" w14:textId="77777777" w:rsidR="009E295C" w:rsidRPr="009E295C" w:rsidRDefault="003A3E4A" w:rsidP="009E295C">
      <w:r w:rsidRPr="009E295C">
        <w:t>De Unie gebruikt haar ervaring ook om mensen te helpen zich op eventuele rampen voor te bereiden in landen en regio</w:t>
      </w:r>
      <w:r w:rsidR="004C6AA5" w:rsidRPr="009E295C">
        <w:t>’</w:t>
      </w:r>
      <w:r w:rsidRPr="009E295C">
        <w:t>s waar een groot gevaar voor aardbevingen, wervelstormen, overstromingen of droogte bestaat.</w:t>
      </w:r>
    </w:p>
    <w:p w14:paraId="6B2928DE" w14:textId="77777777" w:rsidR="009E295C" w:rsidRPr="009E295C" w:rsidRDefault="003A3E4A" w:rsidP="009E295C">
      <w:r w:rsidRPr="009E295C">
        <w:t xml:space="preserve">De EU kanaliseert haar hulpgelden via haar Bureau voor </w:t>
      </w:r>
      <w:r w:rsidR="00E42979" w:rsidRPr="009E295C">
        <w:t>h</w:t>
      </w:r>
      <w:r w:rsidRPr="009E295C">
        <w:t xml:space="preserve">umanitaire </w:t>
      </w:r>
      <w:r w:rsidR="00E42979" w:rsidRPr="009E295C">
        <w:t>h</w:t>
      </w:r>
      <w:r w:rsidRPr="009E295C">
        <w:t>ulp (ECHO). Sedert deze dienst in 1992 werd opgericht, heeft ECHO in meer dan 100 landen overal ter wereld ernstige crises het hoofd geboden, waarbij deze dienst zo snel als maar mogelijk essentiële uitrustingsgoederen en noodhulp bracht. Van zijn begroting van meer dan 500 miljoen euro per jaar bekostigt ECHO eveneens medische teams, deskundigen in het ruimen van landmijnen, vervoer en logistieke steun.</w:t>
      </w:r>
    </w:p>
    <w:p w14:paraId="2511B0D4" w14:textId="77777777" w:rsidR="009E295C" w:rsidRPr="009E295C" w:rsidRDefault="003A3E4A" w:rsidP="009E295C">
      <w:r w:rsidRPr="009E295C">
        <w:t>ECHO beschikt niet over de middelen dit allemaal zelf te doen, daarom werkt het nauw samen met humanitaire partners</w:t>
      </w:r>
      <w:r w:rsidR="005206C9" w:rsidRPr="009E295C">
        <w:t> </w:t>
      </w:r>
      <w:r w:rsidR="00E445AE" w:rsidRPr="009E295C">
        <w:t xml:space="preserve">— </w:t>
      </w:r>
      <w:r w:rsidRPr="009E295C">
        <w:t xml:space="preserve">niet-gouvernementele organisaties, gespecialiseerde agentschappen van de VN en het Rode Kruis/de Rode Halve Maan </w:t>
      </w:r>
      <w:r w:rsidR="00E42979" w:rsidRPr="009E295C">
        <w:t>—</w:t>
      </w:r>
      <w:r w:rsidRPr="009E295C">
        <w:t xml:space="preserve"> om voedsel en uitrusting ter plekke te krijgen, hulpteams te leveren, veldhospitalen op te zetten en tijdelijke communicatiesystemen te installeren.</w:t>
      </w:r>
    </w:p>
    <w:p w14:paraId="32B98950" w14:textId="77777777" w:rsidR="009E295C" w:rsidRPr="009E295C" w:rsidRDefault="003A3E4A" w:rsidP="009E295C">
      <w:pPr>
        <w:pStyle w:val="Kop2"/>
        <w:rPr>
          <w:lang w:val="nl-BE"/>
        </w:rPr>
      </w:pPr>
      <w:r w:rsidRPr="009E295C">
        <w:rPr>
          <w:lang w:val="nl-BE"/>
        </w:rPr>
        <w:t>Samen aan het werk, overal ter wereld</w:t>
      </w:r>
    </w:p>
    <w:p w14:paraId="12D582CE" w14:textId="77777777" w:rsidR="009E295C" w:rsidRPr="009E295C" w:rsidRDefault="003A3E4A" w:rsidP="009E295C">
      <w:r w:rsidRPr="009E295C">
        <w:t>De humanitaire hulp is maar één gebied waarop de EU nauw samenwerkt met internationale organisaties zoals de VN, de WTO, de NAVO, de Organisatie voor Veiligheid en Samenwerking in Europa (OVSE), de Raad van Europa en regionale organisaties in Afrika, Amerika, Azië en het gebied van de Stille Oceaan.</w:t>
      </w:r>
    </w:p>
    <w:p w14:paraId="2407C9EA" w14:textId="77777777" w:rsidR="009E295C" w:rsidRPr="009E295C" w:rsidRDefault="003A3E4A" w:rsidP="009E295C">
      <w:r w:rsidRPr="009E295C">
        <w:t xml:space="preserve">De Europese Unie gelooft in het streven naar multilaterale oplossingen voor problemen die zich op wereldschaal voordoen. Daarom hecht zij groot belang aan daadwerkelijk multilateralisme </w:t>
      </w:r>
      <w:r w:rsidRPr="009E295C">
        <w:lastRenderedPageBreak/>
        <w:t>waarbij met name het werk van en door de Verenigde Naties een grote rol speelt. De VN is met haar universeel mandaat en universele legitimiteit immers uniek gepositioneerd om te reageren op de uitdagingen waar wij allen voor geplaatst staan.</w:t>
      </w:r>
    </w:p>
    <w:p w14:paraId="59D9EEDF" w14:textId="77777777" w:rsidR="009E295C" w:rsidRPr="009E295C" w:rsidRDefault="003A3E4A" w:rsidP="009E295C">
      <w:r w:rsidRPr="009E295C">
        <w:t>De EU-lidstaten stellen zich krachtig achter de millenniumontwikkelingsdoelstellingen zoals die door de Verenigde Naties in september 2000 zijn aangenomen:</w:t>
      </w:r>
    </w:p>
    <w:p w14:paraId="18ADCB30" w14:textId="77777777" w:rsidR="003A3E4A" w:rsidRPr="009E295C" w:rsidRDefault="003A3E4A" w:rsidP="009E295C">
      <w:pPr>
        <w:pStyle w:val="Lijstopsomteken"/>
        <w:rPr>
          <w:lang w:val="nl-BE"/>
        </w:rPr>
      </w:pPr>
      <w:r w:rsidRPr="009E295C">
        <w:rPr>
          <w:lang w:val="nl-BE"/>
        </w:rPr>
        <w:t>om extreme armoede en honger uit te roeien</w:t>
      </w:r>
      <w:r w:rsidR="00AC55A5" w:rsidRPr="009E295C">
        <w:rPr>
          <w:lang w:val="nl-BE"/>
        </w:rPr>
        <w:t>;</w:t>
      </w:r>
    </w:p>
    <w:p w14:paraId="5E58B2AC" w14:textId="77777777" w:rsidR="003A3E4A" w:rsidRPr="009E295C" w:rsidRDefault="003A3E4A" w:rsidP="009E295C">
      <w:pPr>
        <w:pStyle w:val="Lijstopsomteken"/>
        <w:rPr>
          <w:lang w:val="nl-BE"/>
        </w:rPr>
      </w:pPr>
      <w:r w:rsidRPr="009E295C">
        <w:rPr>
          <w:lang w:val="nl-BE"/>
        </w:rPr>
        <w:t>overal ter wereld lager onderwijs te bereiken</w:t>
      </w:r>
      <w:r w:rsidR="00AC55A5" w:rsidRPr="009E295C">
        <w:rPr>
          <w:lang w:val="nl-BE"/>
        </w:rPr>
        <w:t>;</w:t>
      </w:r>
    </w:p>
    <w:p w14:paraId="0BCB6035" w14:textId="77777777" w:rsidR="003A3E4A" w:rsidRPr="009E295C" w:rsidRDefault="003A3E4A" w:rsidP="009E295C">
      <w:pPr>
        <w:pStyle w:val="Lijstopsomteken"/>
        <w:rPr>
          <w:lang w:val="nl-BE"/>
        </w:rPr>
      </w:pPr>
      <w:r w:rsidRPr="009E295C">
        <w:rPr>
          <w:lang w:val="nl-BE"/>
        </w:rPr>
        <w:t>gelijkheid tussen man en vrouw te bevorderen en vrouwen meer macht te geven</w:t>
      </w:r>
      <w:r w:rsidR="00AC55A5" w:rsidRPr="009E295C">
        <w:rPr>
          <w:lang w:val="nl-BE"/>
        </w:rPr>
        <w:t>;</w:t>
      </w:r>
    </w:p>
    <w:p w14:paraId="14367E10" w14:textId="77777777" w:rsidR="003A3E4A" w:rsidRPr="009E295C" w:rsidRDefault="003A3E4A" w:rsidP="009E295C">
      <w:pPr>
        <w:pStyle w:val="Lijstopsomteken"/>
        <w:rPr>
          <w:lang w:val="nl-BE"/>
        </w:rPr>
      </w:pPr>
      <w:r w:rsidRPr="009E295C">
        <w:rPr>
          <w:lang w:val="nl-BE"/>
        </w:rPr>
        <w:t>kindersterfte te verminderen</w:t>
      </w:r>
      <w:r w:rsidR="00AC55A5" w:rsidRPr="009E295C">
        <w:rPr>
          <w:lang w:val="nl-BE"/>
        </w:rPr>
        <w:t>;</w:t>
      </w:r>
    </w:p>
    <w:p w14:paraId="098EF71E" w14:textId="77777777" w:rsidR="003A3E4A" w:rsidRPr="009E295C" w:rsidRDefault="003A3E4A" w:rsidP="009E295C">
      <w:pPr>
        <w:pStyle w:val="Lijstopsomteken"/>
        <w:rPr>
          <w:lang w:val="nl-BE"/>
        </w:rPr>
      </w:pPr>
      <w:r w:rsidRPr="009E295C">
        <w:rPr>
          <w:lang w:val="nl-BE"/>
        </w:rPr>
        <w:t>de gezondheid van moeders te verbeteren</w:t>
      </w:r>
      <w:r w:rsidR="00AC55A5" w:rsidRPr="009E295C">
        <w:rPr>
          <w:lang w:val="nl-BE"/>
        </w:rPr>
        <w:t>;</w:t>
      </w:r>
    </w:p>
    <w:p w14:paraId="4CAB026E" w14:textId="77777777" w:rsidR="003A3E4A" w:rsidRPr="009E295C" w:rsidRDefault="003A3E4A" w:rsidP="009E295C">
      <w:pPr>
        <w:pStyle w:val="Lijstopsomteken"/>
        <w:rPr>
          <w:lang w:val="nl-BE"/>
        </w:rPr>
      </w:pPr>
      <w:r w:rsidRPr="009E295C">
        <w:rPr>
          <w:lang w:val="nl-BE"/>
        </w:rPr>
        <w:t>HIV/</w:t>
      </w:r>
      <w:r w:rsidR="00237171" w:rsidRPr="009E295C">
        <w:rPr>
          <w:lang w:val="nl-BE"/>
        </w:rPr>
        <w:t>a</w:t>
      </w:r>
      <w:r w:rsidR="00ED3980" w:rsidRPr="009E295C">
        <w:rPr>
          <w:lang w:val="nl-BE"/>
        </w:rPr>
        <w:t>ids</w:t>
      </w:r>
      <w:r w:rsidRPr="009E295C">
        <w:rPr>
          <w:lang w:val="nl-BE"/>
        </w:rPr>
        <w:t>, malaria en andere ziekten te bestrijden</w:t>
      </w:r>
      <w:r w:rsidR="00AC55A5" w:rsidRPr="009E295C">
        <w:rPr>
          <w:lang w:val="nl-BE"/>
        </w:rPr>
        <w:t>;</w:t>
      </w:r>
    </w:p>
    <w:p w14:paraId="57890935" w14:textId="77777777" w:rsidR="003A3E4A" w:rsidRPr="009E295C" w:rsidRDefault="003A3E4A" w:rsidP="009E295C">
      <w:pPr>
        <w:pStyle w:val="Lijstopsomteken"/>
        <w:rPr>
          <w:lang w:val="nl-BE"/>
        </w:rPr>
      </w:pPr>
      <w:r w:rsidRPr="009E295C">
        <w:rPr>
          <w:lang w:val="nl-BE"/>
        </w:rPr>
        <w:t>te zorgen voor duurzaamheid van het milieu</w:t>
      </w:r>
      <w:r w:rsidR="00AC55A5" w:rsidRPr="009E295C">
        <w:rPr>
          <w:lang w:val="nl-BE"/>
        </w:rPr>
        <w:t>;</w:t>
      </w:r>
    </w:p>
    <w:p w14:paraId="3F330887" w14:textId="77777777" w:rsidR="003A3E4A" w:rsidRPr="009E295C" w:rsidRDefault="003A3E4A" w:rsidP="009E295C">
      <w:pPr>
        <w:pStyle w:val="Lijstopsomteken"/>
        <w:rPr>
          <w:lang w:val="nl-BE"/>
        </w:rPr>
      </w:pPr>
      <w:r w:rsidRPr="009E295C">
        <w:rPr>
          <w:lang w:val="nl-BE"/>
        </w:rPr>
        <w:t>een wereldwijd partnerschap voor ontwikkeling verder uit te bouwen.</w:t>
      </w:r>
    </w:p>
    <w:p w14:paraId="23DAE774" w14:textId="77777777" w:rsidR="009E295C" w:rsidRPr="009E295C" w:rsidRDefault="003A3E4A" w:rsidP="009E295C">
      <w:r w:rsidRPr="009E295C">
        <w:rPr>
          <w:lang w:val="nl-BE"/>
        </w:rPr>
        <w:t xml:space="preserve">De EU als organisatie streeft ernaar deze doelstellingen te steunen door zich vooral op zes gebieden te richten waar zij haar speciale deskundigheid kan inzetten. </w:t>
      </w:r>
      <w:r w:rsidRPr="009E295C">
        <w:t>Dit zijn:</w:t>
      </w:r>
    </w:p>
    <w:p w14:paraId="1FEE20C3" w14:textId="77777777" w:rsidR="003A3E4A" w:rsidRPr="009E295C" w:rsidRDefault="003A3E4A" w:rsidP="009E295C">
      <w:pPr>
        <w:pStyle w:val="Lijstopsomteken"/>
        <w:rPr>
          <w:lang w:val="nl-BE"/>
        </w:rPr>
      </w:pPr>
      <w:r w:rsidRPr="009E295C">
        <w:rPr>
          <w:lang w:val="nl-BE"/>
        </w:rPr>
        <w:t>handel en ontwikkeling</w:t>
      </w:r>
      <w:r w:rsidR="00834F42" w:rsidRPr="009E295C">
        <w:rPr>
          <w:lang w:val="nl-BE"/>
        </w:rPr>
        <w:t>:</w:t>
      </w:r>
    </w:p>
    <w:p w14:paraId="0D6BA798" w14:textId="77777777" w:rsidR="003A3E4A" w:rsidRPr="009E295C" w:rsidRDefault="003A3E4A" w:rsidP="009E295C">
      <w:pPr>
        <w:pStyle w:val="Lijstopsomteken"/>
        <w:rPr>
          <w:lang w:val="nl-BE"/>
        </w:rPr>
      </w:pPr>
      <w:r w:rsidRPr="009E295C">
        <w:rPr>
          <w:lang w:val="nl-BE"/>
        </w:rPr>
        <w:t>regionale samenwerking</w:t>
      </w:r>
      <w:r w:rsidR="00834F42" w:rsidRPr="009E295C">
        <w:rPr>
          <w:lang w:val="nl-BE"/>
        </w:rPr>
        <w:t>;</w:t>
      </w:r>
    </w:p>
    <w:p w14:paraId="76092205" w14:textId="77777777" w:rsidR="003A3E4A" w:rsidRPr="009E295C" w:rsidRDefault="003A3E4A" w:rsidP="009E295C">
      <w:pPr>
        <w:pStyle w:val="Lijstopsomteken"/>
        <w:rPr>
          <w:lang w:val="nl-BE"/>
        </w:rPr>
      </w:pPr>
      <w:r w:rsidRPr="009E295C">
        <w:rPr>
          <w:lang w:val="nl-BE"/>
        </w:rPr>
        <w:t>armoedebestrijding ten behoeve van gezondheid en onderwijs</w:t>
      </w:r>
      <w:r w:rsidR="00834F42" w:rsidRPr="009E295C">
        <w:rPr>
          <w:lang w:val="nl-BE"/>
        </w:rPr>
        <w:t>;</w:t>
      </w:r>
    </w:p>
    <w:p w14:paraId="576B15AC" w14:textId="77777777" w:rsidR="003A3E4A" w:rsidRPr="009E295C" w:rsidRDefault="003A3E4A" w:rsidP="009E295C">
      <w:pPr>
        <w:pStyle w:val="Lijstopsomteken"/>
        <w:rPr>
          <w:lang w:val="nl-BE"/>
        </w:rPr>
      </w:pPr>
      <w:r w:rsidRPr="009E295C">
        <w:rPr>
          <w:lang w:val="nl-BE"/>
        </w:rPr>
        <w:t>vervoersinfrastructuur</w:t>
      </w:r>
      <w:r w:rsidR="00834F42" w:rsidRPr="009E295C">
        <w:rPr>
          <w:lang w:val="nl-BE"/>
        </w:rPr>
        <w:t>;</w:t>
      </w:r>
    </w:p>
    <w:p w14:paraId="422B4B10" w14:textId="77777777" w:rsidR="003A3E4A" w:rsidRPr="009E295C" w:rsidRDefault="003A3E4A" w:rsidP="009E295C">
      <w:pPr>
        <w:pStyle w:val="Lijstopsomteken"/>
        <w:rPr>
          <w:lang w:val="nl-BE"/>
        </w:rPr>
      </w:pPr>
      <w:r w:rsidRPr="009E295C">
        <w:rPr>
          <w:lang w:val="nl-BE"/>
        </w:rPr>
        <w:t>voedselveiligheid en duurzame plattelandsontwikkeling</w:t>
      </w:r>
      <w:r w:rsidR="00834F42" w:rsidRPr="009E295C">
        <w:rPr>
          <w:lang w:val="nl-BE"/>
        </w:rPr>
        <w:t>;</w:t>
      </w:r>
    </w:p>
    <w:p w14:paraId="11EB8E04" w14:textId="77777777" w:rsidR="003A3E4A" w:rsidRPr="009E295C" w:rsidRDefault="003A3E4A" w:rsidP="009E295C">
      <w:pPr>
        <w:pStyle w:val="Lijstopsomteken"/>
        <w:rPr>
          <w:lang w:val="nl-BE"/>
        </w:rPr>
      </w:pPr>
      <w:r w:rsidRPr="009E295C">
        <w:rPr>
          <w:lang w:val="nl-BE"/>
        </w:rPr>
        <w:t>institutionele capaciteitsopbouw, goed bestuur en de rechtsstaat.</w:t>
      </w:r>
    </w:p>
    <w:p w14:paraId="14B3E3D5" w14:textId="77777777" w:rsidR="009E295C" w:rsidRPr="009E295C" w:rsidRDefault="003A3E4A" w:rsidP="009E295C">
      <w:pPr>
        <w:pStyle w:val="Kop1"/>
        <w:rPr>
          <w:lang w:val="nl-BE"/>
        </w:rPr>
      </w:pPr>
      <w:r w:rsidRPr="009E295C">
        <w:rPr>
          <w:lang w:val="nl-BE"/>
        </w:rPr>
        <w:t>Onze partners elders in de wereld</w:t>
      </w:r>
    </w:p>
    <w:p w14:paraId="54381494" w14:textId="77777777" w:rsidR="009E295C" w:rsidRPr="009E295C" w:rsidRDefault="003A3E4A" w:rsidP="009E295C">
      <w:r w:rsidRPr="009E295C">
        <w:rPr>
          <w:lang w:val="nl-BE"/>
        </w:rPr>
        <w:t xml:space="preserve">De Europese Unie beschikt over een netwerk van associatie-, samenwerkings- en handelsovereenkomsten dat dwars over de wereldbol gaat, van haar naaste buren in Europa tot de meest verafgelegen partners in Azië en de Stille Oceaan. </w:t>
      </w:r>
      <w:r w:rsidRPr="009E295C">
        <w:t>Voor het onderhouden van deze betrekkingen houdt de EU geregeld topbijeenkomsten of minister</w:t>
      </w:r>
      <w:r w:rsidR="00641C41" w:rsidRPr="009E295C">
        <w:t>s</w:t>
      </w:r>
      <w:r w:rsidRPr="009E295C">
        <w:t>bijeenkomsten met haar belangrijkste partners.</w:t>
      </w:r>
    </w:p>
    <w:p w14:paraId="067A666F" w14:textId="77777777" w:rsidR="009E295C" w:rsidRPr="009E295C" w:rsidRDefault="003A3E4A" w:rsidP="009E295C">
      <w:r w:rsidRPr="009E295C">
        <w:t>De meest intensieve betrekkingen van de EU zijn met vier West-Europese buurlanden: Zwitserland, Noorwegen, IJsland en Liechtenstein. Die zijn allemaal lid van de Europese Vrijhandels</w:t>
      </w:r>
      <w:r w:rsidR="00237171" w:rsidRPr="009E295C">
        <w:t>associatie</w:t>
      </w:r>
      <w:r w:rsidRPr="009E295C">
        <w:t xml:space="preserve"> (EVA) en hebben zich aangesloten bij grote delen van de EU-wetgeving op het gebied van de interne markt, terwijl zij de EU op andere beleidsgebieden volgen. Met uitzondering van Zwitserland nemen zij, net als de EU, ook deel aan de Europese Economische Ruimte (EER).</w:t>
      </w:r>
    </w:p>
    <w:p w14:paraId="20B85CAF" w14:textId="77777777" w:rsidR="009E295C" w:rsidRPr="009E295C" w:rsidRDefault="003A3E4A" w:rsidP="009E295C">
      <w:pPr>
        <w:pStyle w:val="Kop2"/>
      </w:pPr>
      <w:r w:rsidRPr="009E295C">
        <w:t>Het voorbereiden van toekomstige uitbreidingen</w:t>
      </w:r>
    </w:p>
    <w:p w14:paraId="5BC86D6E" w14:textId="77777777" w:rsidR="009E295C" w:rsidRPr="009E295C" w:rsidRDefault="003A3E4A" w:rsidP="009E295C">
      <w:r w:rsidRPr="009E295C">
        <w:t>Vier landen in Zuidoost-Europa staan kandidaat voor het lidmaatschap van de Unie. Bulgarije en Roemenië gaan in 2007 naar verwachting deel van de Unie uitmaken. Het vastleggen van een tijdstip voor de toetreding van Turkije ligt minder duidelijk. Turkije is een van de oudste handelspartners van de EU met een associatieovereenkomst die teruggaat tot 1963 en die momenteel een douane-unie omvat. Turkije heeft in 1987 het lidmaatschap aangevraagd. Het vierde land, Kroatië</w:t>
      </w:r>
      <w:r w:rsidR="00D12CDC" w:rsidRPr="009E295C">
        <w:t>,</w:t>
      </w:r>
      <w:r w:rsidRPr="009E295C">
        <w:t xml:space="preserve"> werd door de EU in juni 2004 als kandidaat-lidstaat aanvaard. De datum </w:t>
      </w:r>
      <w:r w:rsidRPr="009E295C">
        <w:lastRenderedPageBreak/>
        <w:t>van toetreding van Kroatië zal afhankelijk zijn van de vorderingen die de onderhandelingen over het lidmaatschap maken.</w:t>
      </w:r>
    </w:p>
    <w:p w14:paraId="331AF638" w14:textId="77777777" w:rsidR="009E295C" w:rsidRPr="009E295C" w:rsidRDefault="003A3E4A" w:rsidP="009E295C">
      <w:r w:rsidRPr="009E295C">
        <w:t>Een ander land uit de westelijke Balkan, de Voormalige Joegoslavische Republiek Macedonië (FYROM), heeft in maart 2004 het lidmaatschap aangevraagd. Zo</w:t>
      </w:r>
      <w:r w:rsidR="004C6AA5" w:rsidRPr="009E295C">
        <w:t>’</w:t>
      </w:r>
      <w:r w:rsidRPr="009E295C">
        <w:t>n aanvraag is een eerste stap op weg naar aanvaarding als kandidaat-lidstaat.</w:t>
      </w:r>
    </w:p>
    <w:p w14:paraId="2C649358" w14:textId="77777777" w:rsidR="009E295C" w:rsidRPr="009E295C" w:rsidRDefault="003A3E4A" w:rsidP="009E295C">
      <w:r w:rsidRPr="009E295C">
        <w:t>De Europese Unie en de landen van de westelijke Balkan hebben tezamen een</w:t>
      </w:r>
      <w:r w:rsidR="000A76FF" w:rsidRPr="009E295C">
        <w:t xml:space="preserve"> </w:t>
      </w:r>
      <w:r w:rsidR="008F47CB" w:rsidRPr="009E295C">
        <w:t>„</w:t>
      </w:r>
      <w:r w:rsidRPr="009E295C">
        <w:t>proces van stabilisatie en associatie</w:t>
      </w:r>
      <w:r w:rsidR="00E51713" w:rsidRPr="009E295C">
        <w:t>”</w:t>
      </w:r>
      <w:r w:rsidR="00553A08" w:rsidRPr="009E295C">
        <w:t xml:space="preserve"> </w:t>
      </w:r>
      <w:r w:rsidRPr="009E295C">
        <w:t xml:space="preserve">tot stand gebracht dat </w:t>
      </w:r>
      <w:r w:rsidR="00237171" w:rsidRPr="009E295C">
        <w:t>—</w:t>
      </w:r>
      <w:r w:rsidRPr="009E295C">
        <w:t xml:space="preserve"> naast Kroatië en de FYROM </w:t>
      </w:r>
      <w:r w:rsidR="00237171" w:rsidRPr="009E295C">
        <w:t>—</w:t>
      </w:r>
      <w:r w:rsidRPr="009E295C">
        <w:t xml:space="preserve"> ook Albanië, </w:t>
      </w:r>
      <w:r w:rsidR="00156F7E" w:rsidRPr="009E295C">
        <w:t>Bosnië-Herzegovina</w:t>
      </w:r>
      <w:r w:rsidRPr="009E295C">
        <w:t>, alsmede Servië en Montenegro omvat. Met als uiteindelijk doel een toekomstig EU-lidmaatschap hebben deze landen vrije toegang tot de markt van de EU verkregen en ontvangen zij EU-steunverlening voor binnenlandse hervormingsprogramma</w:t>
      </w:r>
      <w:r w:rsidR="004C6AA5" w:rsidRPr="009E295C">
        <w:t>’</w:t>
      </w:r>
      <w:r w:rsidRPr="009E295C">
        <w:t>s. Bij wijze van volgende stap kunnen zij</w:t>
      </w:r>
      <w:r w:rsidR="000A76FF" w:rsidRPr="009E295C">
        <w:t xml:space="preserve"> </w:t>
      </w:r>
      <w:r w:rsidR="008F47CB" w:rsidRPr="009E295C">
        <w:t>„</w:t>
      </w:r>
      <w:r w:rsidRPr="009E295C">
        <w:t>stabilisatie- en associatieovereenkomsten</w:t>
      </w:r>
      <w:r w:rsidR="00E51713" w:rsidRPr="009E295C">
        <w:t>”</w:t>
      </w:r>
      <w:r w:rsidR="00553A08" w:rsidRPr="009E295C">
        <w:t xml:space="preserve"> </w:t>
      </w:r>
      <w:r w:rsidRPr="009E295C">
        <w:t>met de Unie aangaan, net als Kroatië en de FYROM, voor zij uiteindelijk het lidmaatschap van de EU aanvragen.</w:t>
      </w:r>
    </w:p>
    <w:p w14:paraId="29755802" w14:textId="77777777" w:rsidR="009E295C" w:rsidRPr="009E295C" w:rsidRDefault="003A3E4A" w:rsidP="009E295C">
      <w:pPr>
        <w:pStyle w:val="Kop2"/>
      </w:pPr>
      <w:r w:rsidRPr="009E295C">
        <w:t>Een vriendschappelijk nabuurschap</w:t>
      </w:r>
    </w:p>
    <w:p w14:paraId="15BE11AE" w14:textId="77777777" w:rsidR="009E295C" w:rsidRPr="009E295C" w:rsidRDefault="003A3E4A" w:rsidP="009E295C">
      <w:r w:rsidRPr="009E295C">
        <w:t xml:space="preserve">De Europese Unie wil dat de uitbreiding van 2004 en eventuele volgende uitbreidingen zeker geen nieuwe belemmeringen opwerpen tussen de uitgebreide Unie en haar buurlanden. Daarom is de EU bezig nauwere banden met de buren in het oosten (Rusland, Oekraïne, Moldavië en eventueel Wit-Rusland) </w:t>
      </w:r>
      <w:r w:rsidR="00237171" w:rsidRPr="009E295C">
        <w:t>—</w:t>
      </w:r>
      <w:r w:rsidRPr="009E295C">
        <w:t xml:space="preserve"> en het zuiden (de andere landen van de Middellandse Zee) aan te knopen.</w:t>
      </w:r>
    </w:p>
    <w:p w14:paraId="37B90898" w14:textId="77777777" w:rsidR="009E295C" w:rsidRPr="009E295C" w:rsidRDefault="003A3E4A" w:rsidP="009E295C">
      <w:r w:rsidRPr="009E295C">
        <w:t>Als onderdeel van het</w:t>
      </w:r>
      <w:r w:rsidR="000A76FF" w:rsidRPr="009E295C">
        <w:t xml:space="preserve"> </w:t>
      </w:r>
      <w:r w:rsidR="008F47CB" w:rsidRPr="009E295C">
        <w:t>„</w:t>
      </w:r>
      <w:r w:rsidRPr="009E295C">
        <w:t xml:space="preserve">Europees </w:t>
      </w:r>
      <w:r w:rsidR="0022174E" w:rsidRPr="009E295C">
        <w:t>n</w:t>
      </w:r>
      <w:r w:rsidRPr="009E295C">
        <w:t>abuurschapsbeleid</w:t>
      </w:r>
      <w:r w:rsidR="00E51713" w:rsidRPr="009E295C">
        <w:t>”</w:t>
      </w:r>
      <w:r w:rsidR="00553A08" w:rsidRPr="009E295C">
        <w:t xml:space="preserve"> </w:t>
      </w:r>
      <w:r w:rsidRPr="009E295C">
        <w:t>beoogt de EU vele van de voordelen van haar interne markt tot de genoemde landen uit te strekken en h</w:t>
      </w:r>
      <w:r w:rsidR="003C3E98" w:rsidRPr="009E295C">
        <w:t>u</w:t>
      </w:r>
      <w:r w:rsidRPr="009E295C">
        <w:t>n aanvullende handelsconcessies en financiële bijstand aan te bieden. De Europese buurlanden zouden in ruil dan meer werk moeten maken van democratische hervormingen en de markteconomie, en de mensenrechten beter moeten naleven. Nu de uitbreiding de Unie in rechtstreeks contact brengt met politiek en sociaal instabiele buurlanden, bestaat het antwoord van de Unie erin deze landen de mogelijkheid te bieden deelgenoot te worden van haar eigen welvaart en stabiliteit, waarmee zij tegelijk haar eigen veiligheid versterkt.</w:t>
      </w:r>
    </w:p>
    <w:p w14:paraId="508B7487" w14:textId="77777777" w:rsidR="009E295C" w:rsidRPr="009E295C" w:rsidRDefault="003A3E4A" w:rsidP="009E295C">
      <w:r w:rsidRPr="009E295C">
        <w:t>Aangezien de buurlanden vaak doorgangslanden zijn voor illegale immigranten en handelaars in verdovende middelen en mensen, helpt de EU een aantal van die landen nu om hun grenzen en immigratieprocedures te versterken.</w:t>
      </w:r>
    </w:p>
    <w:p w14:paraId="1102398F" w14:textId="77777777" w:rsidR="009E295C" w:rsidRPr="009E295C" w:rsidRDefault="003A3E4A" w:rsidP="009E295C">
      <w:r w:rsidRPr="009E295C">
        <w:t>Rusland, Oekraïne, Moldavië en de meeste landen in de zuidelijke Kaukasus en in Midden-Azië hebben overeenkomsten met de EU die over handel, politieke samenwerking, milieubescherming en samenwerking op wetenschappelijk en cultureel gebied gaan. Met haar grootste buurland, Rusland, is de EU bezig een heel pakket voor samenwerking op een groot aantal gebieden op touw te zetten.</w:t>
      </w:r>
    </w:p>
    <w:p w14:paraId="1D66E69D" w14:textId="77777777" w:rsidR="009E295C" w:rsidRPr="009E295C" w:rsidRDefault="003A3E4A" w:rsidP="009E295C">
      <w:r w:rsidRPr="009E295C">
        <w:t xml:space="preserve">Deze landen komen ook in aanmerking voor het </w:t>
      </w:r>
      <w:r w:rsidR="00BD4A7D" w:rsidRPr="009E295C">
        <w:t>Tacis</w:t>
      </w:r>
      <w:r w:rsidRPr="009E295C">
        <w:t>-hulpprogramma van de EU ten belope van 3,14 miljard euro over het tijdvak 2000-2006. Hieruit worden projecten betaald voor institutionele hervormingen, infrastructuurnetwerken, ontwikkeling van de particuliere sector, milieubescherming en de plattelandseconomie.</w:t>
      </w:r>
    </w:p>
    <w:p w14:paraId="0FA9C957" w14:textId="77777777" w:rsidR="009E295C" w:rsidRPr="009E295C" w:rsidRDefault="003A3E4A" w:rsidP="009E295C">
      <w:r w:rsidRPr="009E295C">
        <w:t>Als onderdeel van het</w:t>
      </w:r>
      <w:r w:rsidR="000A76FF" w:rsidRPr="009E295C">
        <w:t xml:space="preserve"> </w:t>
      </w:r>
      <w:r w:rsidR="008F47CB" w:rsidRPr="009E295C">
        <w:t>„</w:t>
      </w:r>
      <w:r w:rsidRPr="009E295C">
        <w:t>proces van Barcelona</w:t>
      </w:r>
      <w:r w:rsidR="00E51713" w:rsidRPr="009E295C">
        <w:t>”</w:t>
      </w:r>
      <w:r w:rsidR="00553A08" w:rsidRPr="009E295C">
        <w:t xml:space="preserve"> </w:t>
      </w:r>
      <w:r w:rsidRPr="009E295C">
        <w:t xml:space="preserve">heeft de EU zich ertoe verplicht met haar mediterrane buurlanden tegen 2010 een vrijhandelsgebied opgericht te hebben. Dit zou de Arabische landen aan de zuidelijke en oostelijke oevers van de Middellandse Zee alsmede Israël en de Palestijnse gebieden omvatten. Tussen de Unie en elk van haar partners wordt de handel </w:t>
      </w:r>
      <w:r w:rsidRPr="009E295C">
        <w:lastRenderedPageBreak/>
        <w:t>vrijer gemaakt, terwijl de partners ook stappen ondernemen om de onderlinge handel te bevorderen. In 2004 hebben Egypte, Marokko, Jordanië en Tunesië bijvoorbeeld de</w:t>
      </w:r>
      <w:r w:rsidR="000A76FF" w:rsidRPr="009E295C">
        <w:t xml:space="preserve"> </w:t>
      </w:r>
      <w:r w:rsidR="008F47CB" w:rsidRPr="009E295C">
        <w:t>„</w:t>
      </w:r>
      <w:r w:rsidRPr="009E295C">
        <w:t>Overeenkomst van Agadir</w:t>
      </w:r>
      <w:r w:rsidR="00E51713" w:rsidRPr="009E295C">
        <w:t>”</w:t>
      </w:r>
      <w:r w:rsidR="00553A08" w:rsidRPr="009E295C">
        <w:t xml:space="preserve"> </w:t>
      </w:r>
      <w:r w:rsidRPr="009E295C">
        <w:t>ondertekend</w:t>
      </w:r>
      <w:r w:rsidR="005206C9" w:rsidRPr="009E295C">
        <w:t> </w:t>
      </w:r>
      <w:r w:rsidR="00E445AE" w:rsidRPr="009E295C">
        <w:t xml:space="preserve">— </w:t>
      </w:r>
      <w:r w:rsidRPr="009E295C">
        <w:t>een vrijhandelsovereenkomst tussen deze landen onderling.</w:t>
      </w:r>
    </w:p>
    <w:p w14:paraId="7F9DB9D6" w14:textId="77777777" w:rsidR="009E295C" w:rsidRPr="009E295C" w:rsidRDefault="003A3E4A" w:rsidP="009E295C">
      <w:r w:rsidRPr="009E295C">
        <w:t>In het eigenlijke Midden-Oosten heeft de EU onderhandelingen voor een vrijhandelsovereenkomst aangeknoopt met de zes landen van de Raad voor Samenwerking van de Golfstaten (Bahrein, Koeweit, Oman, Qatar, Saoedi-Arabië en de Verenigde Arabische Emiraten). Daarenboven steunt de EU ook de inspanningen voor wederopbouw in Irak.</w:t>
      </w:r>
    </w:p>
    <w:p w14:paraId="60EF3F86" w14:textId="77777777" w:rsidR="009E295C" w:rsidRPr="009E295C" w:rsidRDefault="003A3E4A" w:rsidP="009E295C">
      <w:pPr>
        <w:pStyle w:val="Kop2"/>
      </w:pPr>
      <w:r w:rsidRPr="009E295C">
        <w:t>Trans-Atlantische banden</w:t>
      </w:r>
    </w:p>
    <w:p w14:paraId="5564F063" w14:textId="77777777" w:rsidR="009E295C" w:rsidRPr="009E295C" w:rsidRDefault="003A3E4A" w:rsidP="009E295C">
      <w:r w:rsidRPr="009E295C">
        <w:t>In de externe betrekkingen van de EU staat de</w:t>
      </w:r>
      <w:r w:rsidR="00FB0120" w:rsidRPr="009E295C">
        <w:t xml:space="preserve"> trans-Atlantisch</w:t>
      </w:r>
      <w:r w:rsidRPr="009E295C">
        <w:t>e verbondenheid met de Verenigde Staten centraal. De handels- en investeringsstromen over de Atlantische Oceaan bedragen bijna 1 miljard euro per dag. Washington was heel lang een voorstander van Europese integratie. De EU en de VS delen vele gemeenschappelijke waarden en gemeenschappelijke belangen, ook al zijn er tussen hen soms verschillen in nadruk en in aanpak.</w:t>
      </w:r>
    </w:p>
    <w:p w14:paraId="1C66F7B5" w14:textId="77777777" w:rsidR="009E295C" w:rsidRPr="009E295C" w:rsidRDefault="003A3E4A" w:rsidP="009E295C">
      <w:r w:rsidRPr="009E295C">
        <w:t>Gezien de omvang van hun bilaterale handel (de VS neemt 25</w:t>
      </w:r>
      <w:r w:rsidR="005206C9" w:rsidRPr="009E295C">
        <w:t> </w:t>
      </w:r>
      <w:r w:rsidR="00315731" w:rsidRPr="009E295C">
        <w:t>%</w:t>
      </w:r>
      <w:r w:rsidRPr="009E295C">
        <w:t xml:space="preserve"> van de EU-export af en staat voor 20</w:t>
      </w:r>
      <w:r w:rsidR="005206C9" w:rsidRPr="009E295C">
        <w:t> </w:t>
      </w:r>
      <w:r w:rsidR="00315731" w:rsidRPr="009E295C">
        <w:t>%</w:t>
      </w:r>
      <w:r w:rsidRPr="009E295C">
        <w:t xml:space="preserve"> van haar invoer) is het niet verwonderlijk dat er af en toe wrijvingen tussen beiden naar boven komen. Ofschoon deze de koppen van de kranten halen, betreffen ze minder dan 2</w:t>
      </w:r>
      <w:r w:rsidR="005206C9" w:rsidRPr="009E295C">
        <w:t> </w:t>
      </w:r>
      <w:r w:rsidR="00315731" w:rsidRPr="009E295C">
        <w:t>%</w:t>
      </w:r>
      <w:r w:rsidRPr="009E295C">
        <w:t xml:space="preserve"> van de totale</w:t>
      </w:r>
      <w:r w:rsidR="00FB0120" w:rsidRPr="009E295C">
        <w:t xml:space="preserve"> trans-Atlantisch</w:t>
      </w:r>
      <w:r w:rsidRPr="009E295C">
        <w:t>e handel. De manier waarop de EU en de VS gezamenlijke aangelegenheden hebben aangepakt, waaronder die van het mededingingsrecht of de erkenning van elkaars technische normen, heeft model gestaan voor de betrekkingen van de Unie met andere partners, zoals Japan en Canada.</w:t>
      </w:r>
    </w:p>
    <w:p w14:paraId="3539AA41" w14:textId="77777777" w:rsidR="009E295C" w:rsidRPr="009E295C" w:rsidRDefault="003A3E4A" w:rsidP="009E295C">
      <w:r w:rsidRPr="009E295C">
        <w:t>Met Canada is de EU in 2004 ter verdieping van de betrekkingen twee spectaculaire initiatieven aangegaan. Het ene is om voor kwesties op wereldvlak een EU-Canada-partnerschapsagenda voor samenwerking op te stellen. Het andere initiatief is te onderhandelen over een nieuwe overeenkomst om de onderlinge handel en investeringen te bevorderen.</w:t>
      </w:r>
    </w:p>
    <w:p w14:paraId="00454EBE" w14:textId="77777777" w:rsidR="009E295C" w:rsidRPr="009E295C" w:rsidRDefault="003A3E4A" w:rsidP="009E295C">
      <w:pPr>
        <w:pStyle w:val="Kop1"/>
      </w:pPr>
      <w:r w:rsidRPr="009E295C">
        <w:t>Azië komt dichterbij</w:t>
      </w:r>
    </w:p>
    <w:p w14:paraId="7DEA7B4D" w14:textId="77777777" w:rsidR="009E295C" w:rsidRPr="009E295C" w:rsidRDefault="003A3E4A" w:rsidP="009E295C">
      <w:r w:rsidRPr="009E295C">
        <w:t xml:space="preserve">Ofschoon China en Japan in Azië haar voornaamste handelspartners zijn, zijn de oudste betrekkingen van de EU die met de zeven leden tellende Associatie van Zuidoost-Aziatische </w:t>
      </w:r>
      <w:r w:rsidR="007C42F4" w:rsidRPr="009E295C">
        <w:t>Staten</w:t>
      </w:r>
      <w:r w:rsidRPr="009E295C">
        <w:t xml:space="preserve"> (ASEAN). Deze betrekkingen begonnen in 1972 en werden in 1980 in een samenwerkingsovereenkomst formeel vastgelegd. ASEAN nam het initiatief de betrekkingen met de EU te verruimen tot het proces dat bekendstaat als de ASEM (</w:t>
      </w:r>
      <w:r w:rsidR="007C42F4" w:rsidRPr="009E295C">
        <w:t>dialoog</w:t>
      </w:r>
      <w:r w:rsidRPr="009E295C">
        <w:t xml:space="preserve"> Azië-Europa) waar ook Japan, China en Zuid-Korea aan deelnemen. Elke twee jaar is er een ASEM-topconferentie.</w:t>
      </w:r>
    </w:p>
    <w:p w14:paraId="27894697" w14:textId="77777777" w:rsidR="009E295C" w:rsidRPr="009E295C" w:rsidRDefault="003A3E4A" w:rsidP="009E295C">
      <w:r w:rsidRPr="009E295C">
        <w:t>De afgelopen jaren heeft de EU haar betrekkingen met Japan nauwer aangehaald. Een in 2001 aangenomen</w:t>
      </w:r>
      <w:r w:rsidR="000A76FF" w:rsidRPr="009E295C">
        <w:t xml:space="preserve"> </w:t>
      </w:r>
      <w:r w:rsidR="008F47CB" w:rsidRPr="009E295C">
        <w:t>„</w:t>
      </w:r>
      <w:r w:rsidRPr="009E295C">
        <w:t>actieplan EU-Japan</w:t>
      </w:r>
      <w:r w:rsidR="00E51713" w:rsidRPr="009E295C">
        <w:t>”</w:t>
      </w:r>
      <w:r w:rsidR="00553A08" w:rsidRPr="009E295C">
        <w:t xml:space="preserve"> </w:t>
      </w:r>
      <w:r w:rsidRPr="009E295C">
        <w:t>verruimt het bereik van de bilaterale samenwerking die tot dan toe vooral handel en investeringen betrof, zodat thans ook politieke en culturele aangelegenheden worden behandeld. Europa is de voornaamste leverancier van directe buitenlandse investeringen in Japan geworden en ook de grootste ontvanger van buitenlandse investeringen uit Japan, daarmee de Verenigde Staten en China overtreffend.</w:t>
      </w:r>
    </w:p>
    <w:p w14:paraId="5865DC41" w14:textId="77777777" w:rsidR="009E295C" w:rsidRPr="009E295C" w:rsidRDefault="003A3E4A" w:rsidP="009E295C">
      <w:r w:rsidRPr="009E295C">
        <w:rPr>
          <w:lang w:val="nl-BE"/>
        </w:rPr>
        <w:t xml:space="preserve">Passend bij het toenemende belang van zowel de EU als China als politieke spelers op het wereldtoneel, is hun onderlinge relatie de afgelopen jaren dynamisch gegroeid, met meer nadruk op de politieke dialoog, </w:t>
      </w:r>
      <w:r w:rsidR="00D91A0E" w:rsidRPr="009E295C">
        <w:rPr>
          <w:lang w:val="nl-BE"/>
        </w:rPr>
        <w:t>sectorale</w:t>
      </w:r>
      <w:r w:rsidRPr="009E295C">
        <w:rPr>
          <w:lang w:val="nl-BE"/>
        </w:rPr>
        <w:t xml:space="preserve"> overeenkomsten en uitwisselingen op institutioneel gebied. </w:t>
      </w:r>
      <w:r w:rsidRPr="009E295C">
        <w:t xml:space="preserve">Op handelsvlak is China nu de op een na grootste handelspartner buiten Europa </w:t>
      </w:r>
      <w:r w:rsidR="00021888" w:rsidRPr="009E295C">
        <w:t>—</w:t>
      </w:r>
      <w:r w:rsidRPr="009E295C">
        <w:t xml:space="preserve"> na de Verenigde </w:t>
      </w:r>
      <w:r w:rsidRPr="009E295C">
        <w:lastRenderedPageBreak/>
        <w:t>Staten maar vóór Japan. De EU is een van de voornaamste leveranciers van buitenlandse investeringen in China.</w:t>
      </w:r>
    </w:p>
    <w:p w14:paraId="56BF9BCE" w14:textId="77777777" w:rsidR="009E295C" w:rsidRPr="009E295C" w:rsidRDefault="003A3E4A" w:rsidP="009E295C">
      <w:r w:rsidRPr="009E295C">
        <w:t>Voor India is de EU de grootste handelspartner en de grootste leverancier van buitenlandse investeringen. Sedert men in juni 2000 een eerste topontmoeting heeft gehouden, zijn de betrekkingen onderling opgebloeid en omvatten die nu niet alleen de handel maar ook de politieke dialoog, zakelijke topconferenties, culturele samenwerking en projecten voor gezamenlijk wetenschappelijk onderzoek.</w:t>
      </w:r>
    </w:p>
    <w:p w14:paraId="0FC900C9" w14:textId="77777777" w:rsidR="009E295C" w:rsidRPr="009E295C" w:rsidRDefault="003A3E4A" w:rsidP="009E295C">
      <w:pPr>
        <w:pStyle w:val="Kop2"/>
        <w:rPr>
          <w:lang w:val="nl-BE"/>
        </w:rPr>
      </w:pPr>
      <w:r w:rsidRPr="009E295C">
        <w:rPr>
          <w:lang w:val="nl-BE"/>
        </w:rPr>
        <w:t>China en India voegen zich bij Galileo</w:t>
      </w:r>
    </w:p>
    <w:p w14:paraId="2D2FD56B" w14:textId="77777777" w:rsidR="009E295C" w:rsidRPr="009E295C" w:rsidRDefault="003A3E4A" w:rsidP="009E295C">
      <w:r w:rsidRPr="009E295C">
        <w:t>China en India hebben besloten deel te nemen aan Galileo, het systeem van satellietnavigatie van de EU. Dit is een teken van de wens bij Aziatische landen om met de Europese Unie verder te gaan dan alleen de handelsbetrekkingen.</w:t>
      </w:r>
    </w:p>
    <w:p w14:paraId="1F1B3EC4" w14:textId="77777777" w:rsidR="009E295C" w:rsidRPr="009E295C" w:rsidRDefault="003A3E4A" w:rsidP="009E295C">
      <w:r w:rsidRPr="009E295C">
        <w:t>Galileo moet in 2008 operationeel zijn en zal een nauwkeuriger alternatief zijn voor het VS-netwerk van GPS-satellieten voor wereldwijde plaatsbepaling. Galileo zal hoofdzakelijk worden gebruikt voor de geografische plaatsbepaling van voertuigen en andere transportmiddelen, maar ook voor wetenschappelijk onderzoek, landbeheer en het monitoren van catastrofes. Bovendien zal het beschikbaar zijn voor gouvernementele toepassingen die echter alleen voor EU-lidstaten toegankelijk zijn.</w:t>
      </w:r>
    </w:p>
    <w:p w14:paraId="7343B752" w14:textId="77777777" w:rsidR="009E295C" w:rsidRPr="009E295C" w:rsidRDefault="003A3E4A" w:rsidP="009E295C">
      <w:pPr>
        <w:pStyle w:val="Kop1"/>
      </w:pPr>
      <w:r w:rsidRPr="009E295C">
        <w:t>Banden met Latijns-Amerika</w:t>
      </w:r>
    </w:p>
    <w:p w14:paraId="07DCC7FE" w14:textId="77777777" w:rsidR="003A3E4A" w:rsidRPr="009E295C" w:rsidRDefault="003A3E4A" w:rsidP="009E295C">
      <w:r w:rsidRPr="009E295C">
        <w:t>Voor Latijns-Amerika is de Europese Unie de op een na belangrijkste handelspartner, de belangrijkste bron van rechtstreekse buitenlandse investeringen en ook de belangrijkste donor van ontwikkelingshulp voor de regio.</w:t>
      </w:r>
    </w:p>
    <w:p w14:paraId="3BF110D9" w14:textId="77777777" w:rsidR="009E295C" w:rsidRPr="009E295C" w:rsidRDefault="003A3E4A" w:rsidP="009E295C">
      <w:r w:rsidRPr="009E295C">
        <w:t>Elke twee jaar houden de EU en alle Latijns-Amerikaanse en Car</w:t>
      </w:r>
      <w:r w:rsidR="0022174E" w:rsidRPr="009E295C">
        <w:t>i</w:t>
      </w:r>
      <w:r w:rsidRPr="009E295C">
        <w:t xml:space="preserve">bische landen biregionale topconferenties over een hele reeks aangelegenheden </w:t>
      </w:r>
      <w:r w:rsidR="0022174E" w:rsidRPr="009E295C">
        <w:t>—</w:t>
      </w:r>
      <w:r w:rsidRPr="009E295C">
        <w:t xml:space="preserve"> politieke, economische, op het gebied van onderwijs, natuurwetenschappelijke, technologische, culturele en sociale. Alle Latijns-Amerikaanse landen zijn momenteel gegroepeerd of afzonderlijk met de Unie verbonden door middel van associatie-, samenwerkings- of handelsovereenkomsten.</w:t>
      </w:r>
    </w:p>
    <w:p w14:paraId="2A2029CD" w14:textId="77777777" w:rsidR="009E295C" w:rsidRPr="009E295C" w:rsidRDefault="003A3E4A" w:rsidP="009E295C">
      <w:r w:rsidRPr="009E295C">
        <w:t>De EU heeft onderhandelingen gevoerd over een associatieovereenkomst met Mercosur (Brazilië, Argentinië, Paraguay en Uruguay) met daarbij ook de oprichting van een vrijhandelsgebied tussen de twee groeperingen.</w:t>
      </w:r>
    </w:p>
    <w:p w14:paraId="2EF07690" w14:textId="77777777" w:rsidR="009E295C" w:rsidRPr="009E295C" w:rsidRDefault="003A3E4A" w:rsidP="009E295C">
      <w:r w:rsidRPr="009E295C">
        <w:t>Eind 2003 sloot de EU twee afzonderlijke overeenkomsten voor een politieke dialoog en voor samenwerking, de ene met de Andesgemeenschap en de andere met Midden-Amerika. De volgende stappen hierin zullen onderhandelingen over associatieovereenkomsten met de beide regio</w:t>
      </w:r>
      <w:r w:rsidR="004C6AA5" w:rsidRPr="009E295C">
        <w:t>’</w:t>
      </w:r>
      <w:r w:rsidRPr="009E295C">
        <w:t>s zijn. De Europese Unie heeft met Mexico en Chili al associatieovereenkomsten afgesloten (met daarin ook regelingen over vrijhandel), welke respectievelijk in 1997 en 2002 werden ondertekend.</w:t>
      </w:r>
    </w:p>
    <w:p w14:paraId="5A014B07" w14:textId="77777777" w:rsidR="009E295C" w:rsidRPr="009E295C" w:rsidRDefault="003A3E4A" w:rsidP="009E295C">
      <w:pPr>
        <w:pStyle w:val="Kop1"/>
      </w:pPr>
      <w:r w:rsidRPr="009E295C">
        <w:t>Partnerschap met Afrika</w:t>
      </w:r>
    </w:p>
    <w:p w14:paraId="7EA827C7" w14:textId="77777777" w:rsidR="009E295C" w:rsidRPr="009E295C" w:rsidRDefault="003A3E4A" w:rsidP="009E295C">
      <w:r w:rsidRPr="009E295C">
        <w:t>Naast haar traditionele banden met de Afrikaanse landen via de mediterrane overeenkomsten of de ACS-relatie is de EU met de Afrikaanse Unie een nieuwe dialoog begonnen. Deze bestrijkt het voork</w:t>
      </w:r>
      <w:r w:rsidR="00021888" w:rsidRPr="009E295C">
        <w:t>o</w:t>
      </w:r>
      <w:r w:rsidRPr="009E295C">
        <w:t>men van geschillen en het oplossen daarvan, alsook EU-steun voor de Afrikaanse Unie en de inspanningen van de Verenigde Naties ten behoeve van vrede op het continent.</w:t>
      </w:r>
    </w:p>
    <w:p w14:paraId="140AEE23" w14:textId="77777777" w:rsidR="009E295C" w:rsidRPr="009E295C" w:rsidRDefault="003A3E4A" w:rsidP="009E295C">
      <w:r w:rsidRPr="009E295C">
        <w:lastRenderedPageBreak/>
        <w:t>Het partnerschap EU-Afrika omvat bovendien regionale economische samenwerking en integratie alsmede handel, bestrijding van droogte en verwoestijning, optreden tegen HIV/</w:t>
      </w:r>
      <w:r w:rsidR="00021888" w:rsidRPr="009E295C">
        <w:t>a</w:t>
      </w:r>
      <w:r w:rsidR="00ED3980" w:rsidRPr="009E295C">
        <w:t>ids</w:t>
      </w:r>
      <w:r w:rsidRPr="009E295C">
        <w:t xml:space="preserve"> en overdraagbare ziekten, voedselzekerheid, mensenrechten en democratie, maar ook de strijd tegen terreur.</w:t>
      </w:r>
    </w:p>
    <w:p w14:paraId="025E7D79" w14:textId="77777777" w:rsidR="009E295C" w:rsidRPr="009E295C" w:rsidRDefault="003A3E4A" w:rsidP="009E295C">
      <w:pPr>
        <w:pStyle w:val="Kop1"/>
      </w:pPr>
      <w:r w:rsidRPr="009E295C">
        <w:t>Wilt u meer weten</w:t>
      </w:r>
    </w:p>
    <w:p w14:paraId="7E004CBE" w14:textId="77777777" w:rsidR="009E295C" w:rsidRPr="009E295C" w:rsidRDefault="003A3E4A" w:rsidP="009E295C">
      <w:r w:rsidRPr="009E295C">
        <w:t>Bezoek voor meer informatie over de verschillende aspecten van de externe betrekkingen van de Europese Unie de site europa.eu.int/comm/world/. Hier kunt u een en ander vinden over kwesties van buitenlands beleid, uitbreiding, externe handel, ontwikkelingsbeleid, humanitaire hulp en mensenrechten.</w:t>
      </w:r>
    </w:p>
    <w:p w14:paraId="6C8D014B" w14:textId="77777777" w:rsidR="003A3E4A" w:rsidRPr="009E295C" w:rsidRDefault="003A3E4A" w:rsidP="009E295C">
      <w:pPr>
        <w:rPr>
          <w:lang w:val="nl-BE"/>
        </w:rPr>
      </w:pPr>
      <w:r w:rsidRPr="009E295C">
        <w:rPr>
          <w:lang w:val="nl-BE"/>
        </w:rPr>
        <w:t>Voor informatie over het gemeenschappelijk buitenlands en veiligheidsbeleid kunt u gaan naar ue.eu.int/pes</w:t>
      </w:r>
      <w:r w:rsidR="009E295C" w:rsidRPr="009E295C">
        <w:rPr>
          <w:lang w:val="nl-BE"/>
        </w:rPr>
        <w:t>c</w:t>
      </w:r>
    </w:p>
    <w:sectPr w:rsidR="003A3E4A" w:rsidRPr="009E295C" w:rsidSect="00524F2F">
      <w:footerReference w:type="even" r:id="rId7"/>
      <w:footerReference w:type="default" r:id="rId8"/>
      <w:pgSz w:w="11906" w:h="16838"/>
      <w:pgMar w:top="1814" w:right="1304" w:bottom="1814" w:left="130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FD598" w14:textId="77777777" w:rsidR="00EF03C7" w:rsidRDefault="00EF03C7">
      <w:r>
        <w:separator/>
      </w:r>
    </w:p>
  </w:endnote>
  <w:endnote w:type="continuationSeparator" w:id="0">
    <w:p w14:paraId="0E950E6E" w14:textId="77777777" w:rsidR="00EF03C7" w:rsidRDefault="00EF0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3AC8C" w14:textId="77777777" w:rsidR="009E295C" w:rsidRDefault="00524F2F" w:rsidP="00143D00">
    <w:pPr>
      <w:pStyle w:val="Voettekst"/>
      <w:framePr w:wrap="around" w:vAnchor="text" w:hAnchor="margin" w:xAlign="right" w:y="1"/>
      <w:rPr>
        <w:rStyle w:val="Paginanummer"/>
      </w:rPr>
    </w:pPr>
    <w:r>
      <w:rPr>
        <w:rStyle w:val="Paginanummer"/>
      </w:rPr>
      <w:fldChar w:fldCharType="begin"/>
    </w:r>
    <w:r w:rsidR="00F41431">
      <w:rPr>
        <w:rStyle w:val="Paginanummer"/>
      </w:rPr>
      <w:instrText xml:space="preserve">PAGE  </w:instrText>
    </w:r>
    <w:r>
      <w:rPr>
        <w:rStyle w:val="Paginanummer"/>
      </w:rPr>
      <w:fldChar w:fldCharType="separate"/>
    </w:r>
    <w:r w:rsidR="00F41431">
      <w:rPr>
        <w:rStyle w:val="Paginanummer"/>
        <w:noProof/>
      </w:rPr>
      <w:t>1</w:t>
    </w:r>
    <w:r>
      <w:rPr>
        <w:rStyle w:val="Paginanummer"/>
      </w:rPr>
      <w:fldChar w:fldCharType="end"/>
    </w:r>
  </w:p>
  <w:p w14:paraId="06BF5AAB" w14:textId="77777777" w:rsidR="00F41431" w:rsidRDefault="00F41431" w:rsidP="00143D00">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113E0" w14:textId="77777777" w:rsidR="009E295C" w:rsidRDefault="00524F2F" w:rsidP="00143D00">
    <w:pPr>
      <w:pStyle w:val="Voettekst"/>
      <w:framePr w:wrap="around" w:vAnchor="text" w:hAnchor="margin" w:xAlign="right" w:y="1"/>
      <w:rPr>
        <w:rStyle w:val="Paginanummer"/>
      </w:rPr>
    </w:pPr>
    <w:r>
      <w:rPr>
        <w:rStyle w:val="Paginanummer"/>
      </w:rPr>
      <w:fldChar w:fldCharType="begin"/>
    </w:r>
    <w:r w:rsidR="00F41431">
      <w:rPr>
        <w:rStyle w:val="Paginanummer"/>
      </w:rPr>
      <w:instrText xml:space="preserve">PAGE  </w:instrText>
    </w:r>
    <w:r>
      <w:rPr>
        <w:rStyle w:val="Paginanummer"/>
      </w:rPr>
      <w:fldChar w:fldCharType="separate"/>
    </w:r>
    <w:r w:rsidR="009E295C">
      <w:rPr>
        <w:rStyle w:val="Paginanummer"/>
        <w:noProof/>
      </w:rPr>
      <w:t>1</w:t>
    </w:r>
    <w:r>
      <w:rPr>
        <w:rStyle w:val="Paginanummer"/>
      </w:rPr>
      <w:fldChar w:fldCharType="end"/>
    </w:r>
  </w:p>
  <w:p w14:paraId="0D245238" w14:textId="77777777" w:rsidR="00F41431" w:rsidRDefault="00F41431" w:rsidP="00143D00">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5B4E1" w14:textId="77777777" w:rsidR="00EF03C7" w:rsidRDefault="00EF03C7">
      <w:r>
        <w:separator/>
      </w:r>
    </w:p>
  </w:footnote>
  <w:footnote w:type="continuationSeparator" w:id="0">
    <w:p w14:paraId="35EBCA78" w14:textId="77777777" w:rsidR="00EF03C7" w:rsidRDefault="00EF03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78E4F46"/>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BEB6EC2A"/>
    <w:lvl w:ilvl="0">
      <w:start w:val="1"/>
      <w:numFmt w:val="decimal"/>
      <w:lvlText w:val="%1."/>
      <w:lvlJc w:val="left"/>
      <w:pPr>
        <w:tabs>
          <w:tab w:val="num" w:pos="643"/>
        </w:tabs>
        <w:ind w:left="643" w:hanging="360"/>
      </w:pPr>
    </w:lvl>
  </w:abstractNum>
  <w:abstractNum w:abstractNumId="2" w15:restartNumberingAfterBreak="0">
    <w:nsid w:val="FFFFFF80"/>
    <w:multiLevelType w:val="singleLevel"/>
    <w:tmpl w:val="5E066656"/>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F1A6D54"/>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5FE47E8"/>
    <w:lvl w:ilvl="0">
      <w:start w:val="1"/>
      <w:numFmt w:val="bullet"/>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FE00636"/>
    <w:lvl w:ilvl="0">
      <w:start w:val="1"/>
      <w:numFmt w:val="bullet"/>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0CC71F4"/>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B42C800A"/>
    <w:lvl w:ilvl="0">
      <w:start w:val="1"/>
      <w:numFmt w:val="bullet"/>
      <w:pStyle w:val="Lijstopsomteken"/>
      <w:lvlText w:val=""/>
      <w:lvlJc w:val="left"/>
      <w:pPr>
        <w:tabs>
          <w:tab w:val="num" w:pos="360"/>
        </w:tabs>
        <w:ind w:left="360" w:hanging="360"/>
      </w:pPr>
      <w:rPr>
        <w:rFonts w:ascii="Symbol" w:hAnsi="Symbol" w:hint="default"/>
      </w:rPr>
    </w:lvl>
  </w:abstractNum>
  <w:abstractNum w:abstractNumId="8" w15:restartNumberingAfterBreak="0">
    <w:nsid w:val="0A8D76D5"/>
    <w:multiLevelType w:val="hybridMultilevel"/>
    <w:tmpl w:val="8B66551E"/>
    <w:lvl w:ilvl="0" w:tplc="2B98C380">
      <w:start w:val="1"/>
      <w:numFmt w:val="bullet"/>
      <w:lvlText w:val=""/>
      <w:lvlJc w:val="left"/>
      <w:pPr>
        <w:tabs>
          <w:tab w:val="num" w:pos="360"/>
        </w:tabs>
        <w:ind w:left="360" w:hanging="360"/>
      </w:pPr>
      <w:rPr>
        <w:rFonts w:ascii="Symbol" w:hAnsi="Symbol" w:hint="default"/>
      </w:rPr>
    </w:lvl>
    <w:lvl w:ilvl="1" w:tplc="8F0058AE" w:tentative="1">
      <w:start w:val="1"/>
      <w:numFmt w:val="bullet"/>
      <w:lvlText w:val="o"/>
      <w:lvlJc w:val="left"/>
      <w:pPr>
        <w:tabs>
          <w:tab w:val="num" w:pos="1440"/>
        </w:tabs>
        <w:ind w:left="1440" w:hanging="360"/>
      </w:pPr>
      <w:rPr>
        <w:rFonts w:ascii="Courier New" w:hAnsi="Courier New" w:cs="Tahoma" w:hint="default"/>
      </w:rPr>
    </w:lvl>
    <w:lvl w:ilvl="2" w:tplc="87B24B34" w:tentative="1">
      <w:start w:val="1"/>
      <w:numFmt w:val="bullet"/>
      <w:lvlText w:val=""/>
      <w:lvlJc w:val="left"/>
      <w:pPr>
        <w:tabs>
          <w:tab w:val="num" w:pos="2160"/>
        </w:tabs>
        <w:ind w:left="2160" w:hanging="360"/>
      </w:pPr>
      <w:rPr>
        <w:rFonts w:ascii="Wingdings" w:hAnsi="Wingdings" w:hint="default"/>
      </w:rPr>
    </w:lvl>
    <w:lvl w:ilvl="3" w:tplc="97C26F1A" w:tentative="1">
      <w:start w:val="1"/>
      <w:numFmt w:val="bullet"/>
      <w:lvlText w:val=""/>
      <w:lvlJc w:val="left"/>
      <w:pPr>
        <w:tabs>
          <w:tab w:val="num" w:pos="2880"/>
        </w:tabs>
        <w:ind w:left="2880" w:hanging="360"/>
      </w:pPr>
      <w:rPr>
        <w:rFonts w:ascii="Symbol" w:hAnsi="Symbol" w:hint="default"/>
      </w:rPr>
    </w:lvl>
    <w:lvl w:ilvl="4" w:tplc="B80048B0" w:tentative="1">
      <w:start w:val="1"/>
      <w:numFmt w:val="bullet"/>
      <w:lvlText w:val="o"/>
      <w:lvlJc w:val="left"/>
      <w:pPr>
        <w:tabs>
          <w:tab w:val="num" w:pos="3600"/>
        </w:tabs>
        <w:ind w:left="3600" w:hanging="360"/>
      </w:pPr>
      <w:rPr>
        <w:rFonts w:ascii="Courier New" w:hAnsi="Courier New" w:cs="Tahoma" w:hint="default"/>
      </w:rPr>
    </w:lvl>
    <w:lvl w:ilvl="5" w:tplc="13585CCC" w:tentative="1">
      <w:start w:val="1"/>
      <w:numFmt w:val="bullet"/>
      <w:lvlText w:val=""/>
      <w:lvlJc w:val="left"/>
      <w:pPr>
        <w:tabs>
          <w:tab w:val="num" w:pos="4320"/>
        </w:tabs>
        <w:ind w:left="4320" w:hanging="360"/>
      </w:pPr>
      <w:rPr>
        <w:rFonts w:ascii="Wingdings" w:hAnsi="Wingdings" w:hint="default"/>
      </w:rPr>
    </w:lvl>
    <w:lvl w:ilvl="6" w:tplc="59E4F61A" w:tentative="1">
      <w:start w:val="1"/>
      <w:numFmt w:val="bullet"/>
      <w:lvlText w:val=""/>
      <w:lvlJc w:val="left"/>
      <w:pPr>
        <w:tabs>
          <w:tab w:val="num" w:pos="5040"/>
        </w:tabs>
        <w:ind w:left="5040" w:hanging="360"/>
      </w:pPr>
      <w:rPr>
        <w:rFonts w:ascii="Symbol" w:hAnsi="Symbol" w:hint="default"/>
      </w:rPr>
    </w:lvl>
    <w:lvl w:ilvl="7" w:tplc="051424F0" w:tentative="1">
      <w:start w:val="1"/>
      <w:numFmt w:val="bullet"/>
      <w:lvlText w:val="o"/>
      <w:lvlJc w:val="left"/>
      <w:pPr>
        <w:tabs>
          <w:tab w:val="num" w:pos="5760"/>
        </w:tabs>
        <w:ind w:left="5760" w:hanging="360"/>
      </w:pPr>
      <w:rPr>
        <w:rFonts w:ascii="Courier New" w:hAnsi="Courier New" w:cs="Tahoma" w:hint="default"/>
      </w:rPr>
    </w:lvl>
    <w:lvl w:ilvl="8" w:tplc="69789AE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0D0C25"/>
    <w:multiLevelType w:val="singleLevel"/>
    <w:tmpl w:val="0809000F"/>
    <w:lvl w:ilvl="0">
      <w:start w:val="4"/>
      <w:numFmt w:val="decimal"/>
      <w:lvlText w:val="%1."/>
      <w:lvlJc w:val="left"/>
      <w:pPr>
        <w:tabs>
          <w:tab w:val="num" w:pos="360"/>
        </w:tabs>
        <w:ind w:left="360" w:hanging="360"/>
      </w:pPr>
      <w:rPr>
        <w:rFonts w:hint="default"/>
      </w:rPr>
    </w:lvl>
  </w:abstractNum>
  <w:abstractNum w:abstractNumId="10" w15:restartNumberingAfterBreak="0">
    <w:nsid w:val="3D7748F3"/>
    <w:multiLevelType w:val="hybridMultilevel"/>
    <w:tmpl w:val="8716B6B6"/>
    <w:lvl w:ilvl="0" w:tplc="9990C0C4">
      <w:start w:val="1"/>
      <w:numFmt w:val="bullet"/>
      <w:lvlText w:val=""/>
      <w:lvlJc w:val="left"/>
      <w:pPr>
        <w:tabs>
          <w:tab w:val="num" w:pos="720"/>
        </w:tabs>
        <w:ind w:left="720" w:hanging="360"/>
      </w:pPr>
      <w:rPr>
        <w:rFonts w:ascii="Symbol" w:hAnsi="Symbol" w:hint="default"/>
      </w:rPr>
    </w:lvl>
    <w:lvl w:ilvl="1" w:tplc="CB0884F8" w:tentative="1">
      <w:start w:val="1"/>
      <w:numFmt w:val="bullet"/>
      <w:lvlText w:val="o"/>
      <w:lvlJc w:val="left"/>
      <w:pPr>
        <w:tabs>
          <w:tab w:val="num" w:pos="1440"/>
        </w:tabs>
        <w:ind w:left="1440" w:hanging="360"/>
      </w:pPr>
      <w:rPr>
        <w:rFonts w:ascii="Courier New" w:hAnsi="Courier New" w:cs="Tahoma" w:hint="default"/>
      </w:rPr>
    </w:lvl>
    <w:lvl w:ilvl="2" w:tplc="C7209C0E" w:tentative="1">
      <w:start w:val="1"/>
      <w:numFmt w:val="bullet"/>
      <w:lvlText w:val=""/>
      <w:lvlJc w:val="left"/>
      <w:pPr>
        <w:tabs>
          <w:tab w:val="num" w:pos="2160"/>
        </w:tabs>
        <w:ind w:left="2160" w:hanging="360"/>
      </w:pPr>
      <w:rPr>
        <w:rFonts w:ascii="Wingdings" w:hAnsi="Wingdings" w:hint="default"/>
      </w:rPr>
    </w:lvl>
    <w:lvl w:ilvl="3" w:tplc="6B4815B6" w:tentative="1">
      <w:start w:val="1"/>
      <w:numFmt w:val="bullet"/>
      <w:lvlText w:val=""/>
      <w:lvlJc w:val="left"/>
      <w:pPr>
        <w:tabs>
          <w:tab w:val="num" w:pos="2880"/>
        </w:tabs>
        <w:ind w:left="2880" w:hanging="360"/>
      </w:pPr>
      <w:rPr>
        <w:rFonts w:ascii="Symbol" w:hAnsi="Symbol" w:hint="default"/>
      </w:rPr>
    </w:lvl>
    <w:lvl w:ilvl="4" w:tplc="34C61454" w:tentative="1">
      <w:start w:val="1"/>
      <w:numFmt w:val="bullet"/>
      <w:lvlText w:val="o"/>
      <w:lvlJc w:val="left"/>
      <w:pPr>
        <w:tabs>
          <w:tab w:val="num" w:pos="3600"/>
        </w:tabs>
        <w:ind w:left="3600" w:hanging="360"/>
      </w:pPr>
      <w:rPr>
        <w:rFonts w:ascii="Courier New" w:hAnsi="Courier New" w:cs="Tahoma" w:hint="default"/>
      </w:rPr>
    </w:lvl>
    <w:lvl w:ilvl="5" w:tplc="21EEEADA" w:tentative="1">
      <w:start w:val="1"/>
      <w:numFmt w:val="bullet"/>
      <w:lvlText w:val=""/>
      <w:lvlJc w:val="left"/>
      <w:pPr>
        <w:tabs>
          <w:tab w:val="num" w:pos="4320"/>
        </w:tabs>
        <w:ind w:left="4320" w:hanging="360"/>
      </w:pPr>
      <w:rPr>
        <w:rFonts w:ascii="Wingdings" w:hAnsi="Wingdings" w:hint="default"/>
      </w:rPr>
    </w:lvl>
    <w:lvl w:ilvl="6" w:tplc="5700081C" w:tentative="1">
      <w:start w:val="1"/>
      <w:numFmt w:val="bullet"/>
      <w:lvlText w:val=""/>
      <w:lvlJc w:val="left"/>
      <w:pPr>
        <w:tabs>
          <w:tab w:val="num" w:pos="5040"/>
        </w:tabs>
        <w:ind w:left="5040" w:hanging="360"/>
      </w:pPr>
      <w:rPr>
        <w:rFonts w:ascii="Symbol" w:hAnsi="Symbol" w:hint="default"/>
      </w:rPr>
    </w:lvl>
    <w:lvl w:ilvl="7" w:tplc="5AA273BE" w:tentative="1">
      <w:start w:val="1"/>
      <w:numFmt w:val="bullet"/>
      <w:lvlText w:val="o"/>
      <w:lvlJc w:val="left"/>
      <w:pPr>
        <w:tabs>
          <w:tab w:val="num" w:pos="5760"/>
        </w:tabs>
        <w:ind w:left="5760" w:hanging="360"/>
      </w:pPr>
      <w:rPr>
        <w:rFonts w:ascii="Courier New" w:hAnsi="Courier New" w:cs="Tahoma" w:hint="default"/>
      </w:rPr>
    </w:lvl>
    <w:lvl w:ilvl="8" w:tplc="D7986772"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10"/>
  </w:num>
  <w:num w:numId="4">
    <w:abstractNumId w:val="7"/>
  </w:num>
  <w:num w:numId="5">
    <w:abstractNumId w:val="5"/>
  </w:num>
  <w:num w:numId="6">
    <w:abstractNumId w:val="4"/>
  </w:num>
  <w:num w:numId="7">
    <w:abstractNumId w:val="3"/>
  </w:num>
  <w:num w:numId="8">
    <w:abstractNumId w:val="2"/>
  </w:num>
  <w:num w:numId="9">
    <w:abstractNumId w:val="6"/>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76810"/>
    <w:rsid w:val="00000D8B"/>
    <w:rsid w:val="000025FA"/>
    <w:rsid w:val="00003A9F"/>
    <w:rsid w:val="0000738D"/>
    <w:rsid w:val="000101A5"/>
    <w:rsid w:val="00021888"/>
    <w:rsid w:val="00023D13"/>
    <w:rsid w:val="00024829"/>
    <w:rsid w:val="000315D9"/>
    <w:rsid w:val="00041901"/>
    <w:rsid w:val="000531D0"/>
    <w:rsid w:val="00054E29"/>
    <w:rsid w:val="000558B9"/>
    <w:rsid w:val="00060A54"/>
    <w:rsid w:val="00070A06"/>
    <w:rsid w:val="000901D0"/>
    <w:rsid w:val="00097E73"/>
    <w:rsid w:val="000A4E1A"/>
    <w:rsid w:val="000A76FF"/>
    <w:rsid w:val="000C017B"/>
    <w:rsid w:val="000C466A"/>
    <w:rsid w:val="000C6AF8"/>
    <w:rsid w:val="000D7C8C"/>
    <w:rsid w:val="000E1388"/>
    <w:rsid w:val="000E2653"/>
    <w:rsid w:val="000E3784"/>
    <w:rsid w:val="000E6F2D"/>
    <w:rsid w:val="000E72BA"/>
    <w:rsid w:val="000F09DA"/>
    <w:rsid w:val="000F2355"/>
    <w:rsid w:val="000F76BF"/>
    <w:rsid w:val="001113B9"/>
    <w:rsid w:val="00114E63"/>
    <w:rsid w:val="0011549C"/>
    <w:rsid w:val="00131E11"/>
    <w:rsid w:val="00135344"/>
    <w:rsid w:val="00137121"/>
    <w:rsid w:val="00143D00"/>
    <w:rsid w:val="00144A46"/>
    <w:rsid w:val="00154432"/>
    <w:rsid w:val="00156F7E"/>
    <w:rsid w:val="001623C1"/>
    <w:rsid w:val="0016525A"/>
    <w:rsid w:val="001665B4"/>
    <w:rsid w:val="00186D4B"/>
    <w:rsid w:val="00192341"/>
    <w:rsid w:val="00194E76"/>
    <w:rsid w:val="001A0466"/>
    <w:rsid w:val="001A2D85"/>
    <w:rsid w:val="001A36CB"/>
    <w:rsid w:val="001A434C"/>
    <w:rsid w:val="001A5214"/>
    <w:rsid w:val="001A7FB3"/>
    <w:rsid w:val="001D3204"/>
    <w:rsid w:val="001F60C3"/>
    <w:rsid w:val="00200B73"/>
    <w:rsid w:val="00202784"/>
    <w:rsid w:val="002109FA"/>
    <w:rsid w:val="00213FA3"/>
    <w:rsid w:val="0022174E"/>
    <w:rsid w:val="00233F62"/>
    <w:rsid w:val="00236746"/>
    <w:rsid w:val="00237171"/>
    <w:rsid w:val="00251E7C"/>
    <w:rsid w:val="00253096"/>
    <w:rsid w:val="002553A9"/>
    <w:rsid w:val="00260CD3"/>
    <w:rsid w:val="00266C45"/>
    <w:rsid w:val="00267983"/>
    <w:rsid w:val="00271909"/>
    <w:rsid w:val="0028298B"/>
    <w:rsid w:val="002832BC"/>
    <w:rsid w:val="00284A51"/>
    <w:rsid w:val="0029059D"/>
    <w:rsid w:val="0029512F"/>
    <w:rsid w:val="002A359C"/>
    <w:rsid w:val="002A791C"/>
    <w:rsid w:val="002A7A3F"/>
    <w:rsid w:val="002B2334"/>
    <w:rsid w:val="002C2EA2"/>
    <w:rsid w:val="002E5C66"/>
    <w:rsid w:val="002E7A77"/>
    <w:rsid w:val="00303F8A"/>
    <w:rsid w:val="00305E84"/>
    <w:rsid w:val="00315731"/>
    <w:rsid w:val="0032086F"/>
    <w:rsid w:val="003238AF"/>
    <w:rsid w:val="003324A0"/>
    <w:rsid w:val="003355F7"/>
    <w:rsid w:val="00347D21"/>
    <w:rsid w:val="00351CD7"/>
    <w:rsid w:val="003577B0"/>
    <w:rsid w:val="003647EE"/>
    <w:rsid w:val="00374259"/>
    <w:rsid w:val="003745B5"/>
    <w:rsid w:val="0039669C"/>
    <w:rsid w:val="003A3E4A"/>
    <w:rsid w:val="003A4E46"/>
    <w:rsid w:val="003B0394"/>
    <w:rsid w:val="003B4672"/>
    <w:rsid w:val="003C3E98"/>
    <w:rsid w:val="003C556B"/>
    <w:rsid w:val="003C7434"/>
    <w:rsid w:val="003D1954"/>
    <w:rsid w:val="003D7A50"/>
    <w:rsid w:val="003F440D"/>
    <w:rsid w:val="003F6963"/>
    <w:rsid w:val="004101F3"/>
    <w:rsid w:val="0042485B"/>
    <w:rsid w:val="004252D0"/>
    <w:rsid w:val="00447DB8"/>
    <w:rsid w:val="00452893"/>
    <w:rsid w:val="00453067"/>
    <w:rsid w:val="004572EE"/>
    <w:rsid w:val="00460AA7"/>
    <w:rsid w:val="00466B15"/>
    <w:rsid w:val="0047359B"/>
    <w:rsid w:val="00475526"/>
    <w:rsid w:val="00475E91"/>
    <w:rsid w:val="00483A40"/>
    <w:rsid w:val="00484DE4"/>
    <w:rsid w:val="00490917"/>
    <w:rsid w:val="004A1AEA"/>
    <w:rsid w:val="004A7AB0"/>
    <w:rsid w:val="004A7D22"/>
    <w:rsid w:val="004B1BC8"/>
    <w:rsid w:val="004B32FB"/>
    <w:rsid w:val="004C6AA5"/>
    <w:rsid w:val="004D597C"/>
    <w:rsid w:val="004E3404"/>
    <w:rsid w:val="004F2E97"/>
    <w:rsid w:val="005052BB"/>
    <w:rsid w:val="005112EE"/>
    <w:rsid w:val="005178ED"/>
    <w:rsid w:val="005206C9"/>
    <w:rsid w:val="00523CE9"/>
    <w:rsid w:val="00524F2F"/>
    <w:rsid w:val="005409B0"/>
    <w:rsid w:val="0054477B"/>
    <w:rsid w:val="00547AE7"/>
    <w:rsid w:val="00553A08"/>
    <w:rsid w:val="0056366A"/>
    <w:rsid w:val="00580B4C"/>
    <w:rsid w:val="00581680"/>
    <w:rsid w:val="005844BF"/>
    <w:rsid w:val="005861A3"/>
    <w:rsid w:val="00587E52"/>
    <w:rsid w:val="005A15CD"/>
    <w:rsid w:val="005A16AF"/>
    <w:rsid w:val="005A2552"/>
    <w:rsid w:val="005A368A"/>
    <w:rsid w:val="005A3802"/>
    <w:rsid w:val="005E1657"/>
    <w:rsid w:val="005F3017"/>
    <w:rsid w:val="005F463F"/>
    <w:rsid w:val="005F6019"/>
    <w:rsid w:val="00616105"/>
    <w:rsid w:val="006257A6"/>
    <w:rsid w:val="006322F0"/>
    <w:rsid w:val="00641C41"/>
    <w:rsid w:val="00642CBA"/>
    <w:rsid w:val="00644993"/>
    <w:rsid w:val="00647B3A"/>
    <w:rsid w:val="0066506F"/>
    <w:rsid w:val="006729CB"/>
    <w:rsid w:val="00674907"/>
    <w:rsid w:val="00690A8C"/>
    <w:rsid w:val="00692D0C"/>
    <w:rsid w:val="00693089"/>
    <w:rsid w:val="00693A2A"/>
    <w:rsid w:val="006A2569"/>
    <w:rsid w:val="006A4618"/>
    <w:rsid w:val="006B12FB"/>
    <w:rsid w:val="006C3973"/>
    <w:rsid w:val="006D58F8"/>
    <w:rsid w:val="006E2B92"/>
    <w:rsid w:val="006E4F1C"/>
    <w:rsid w:val="006E5552"/>
    <w:rsid w:val="006E59F5"/>
    <w:rsid w:val="006F3C00"/>
    <w:rsid w:val="006F4DA3"/>
    <w:rsid w:val="00701E6A"/>
    <w:rsid w:val="007027D8"/>
    <w:rsid w:val="0072576E"/>
    <w:rsid w:val="00731866"/>
    <w:rsid w:val="00750C2F"/>
    <w:rsid w:val="007559DD"/>
    <w:rsid w:val="00764F45"/>
    <w:rsid w:val="007652E0"/>
    <w:rsid w:val="00773BAC"/>
    <w:rsid w:val="0078287E"/>
    <w:rsid w:val="00791652"/>
    <w:rsid w:val="007926E1"/>
    <w:rsid w:val="007B4704"/>
    <w:rsid w:val="007B5DC6"/>
    <w:rsid w:val="007B75D8"/>
    <w:rsid w:val="007C2431"/>
    <w:rsid w:val="007C32E6"/>
    <w:rsid w:val="007C42F4"/>
    <w:rsid w:val="007C651D"/>
    <w:rsid w:val="007D29E1"/>
    <w:rsid w:val="007E3CF0"/>
    <w:rsid w:val="007F1613"/>
    <w:rsid w:val="007F637F"/>
    <w:rsid w:val="007F727B"/>
    <w:rsid w:val="00801965"/>
    <w:rsid w:val="00801E9F"/>
    <w:rsid w:val="0081139D"/>
    <w:rsid w:val="00817FA1"/>
    <w:rsid w:val="00820FE6"/>
    <w:rsid w:val="0082396A"/>
    <w:rsid w:val="00826BC1"/>
    <w:rsid w:val="00834F42"/>
    <w:rsid w:val="0084394D"/>
    <w:rsid w:val="00844B75"/>
    <w:rsid w:val="00855BA0"/>
    <w:rsid w:val="00863881"/>
    <w:rsid w:val="0088441B"/>
    <w:rsid w:val="00890242"/>
    <w:rsid w:val="008964F6"/>
    <w:rsid w:val="008A111E"/>
    <w:rsid w:val="008A4A22"/>
    <w:rsid w:val="008A4ABF"/>
    <w:rsid w:val="008A7D19"/>
    <w:rsid w:val="008B0FE0"/>
    <w:rsid w:val="008C43CE"/>
    <w:rsid w:val="008C7E50"/>
    <w:rsid w:val="008D4CF1"/>
    <w:rsid w:val="008F47CB"/>
    <w:rsid w:val="00901A17"/>
    <w:rsid w:val="00915ECB"/>
    <w:rsid w:val="009217F2"/>
    <w:rsid w:val="009331B0"/>
    <w:rsid w:val="0093674D"/>
    <w:rsid w:val="00940096"/>
    <w:rsid w:val="00947C52"/>
    <w:rsid w:val="009501D7"/>
    <w:rsid w:val="009538D1"/>
    <w:rsid w:val="00960D30"/>
    <w:rsid w:val="00967577"/>
    <w:rsid w:val="00972A7D"/>
    <w:rsid w:val="0097340F"/>
    <w:rsid w:val="00980CC0"/>
    <w:rsid w:val="009827C8"/>
    <w:rsid w:val="00993888"/>
    <w:rsid w:val="009A3CE8"/>
    <w:rsid w:val="009A6893"/>
    <w:rsid w:val="009A7766"/>
    <w:rsid w:val="009B266D"/>
    <w:rsid w:val="009B7B7F"/>
    <w:rsid w:val="009C137B"/>
    <w:rsid w:val="009C21C5"/>
    <w:rsid w:val="009C2E44"/>
    <w:rsid w:val="009D004E"/>
    <w:rsid w:val="009D236C"/>
    <w:rsid w:val="009D4142"/>
    <w:rsid w:val="009D5EA7"/>
    <w:rsid w:val="009D6FC4"/>
    <w:rsid w:val="009E295C"/>
    <w:rsid w:val="009E7B5F"/>
    <w:rsid w:val="009F5B01"/>
    <w:rsid w:val="009F6174"/>
    <w:rsid w:val="00A05B6F"/>
    <w:rsid w:val="00A26E75"/>
    <w:rsid w:val="00A27E30"/>
    <w:rsid w:val="00A37373"/>
    <w:rsid w:val="00A37F1E"/>
    <w:rsid w:val="00A403B0"/>
    <w:rsid w:val="00A53428"/>
    <w:rsid w:val="00A553E4"/>
    <w:rsid w:val="00A63168"/>
    <w:rsid w:val="00A646F5"/>
    <w:rsid w:val="00A74435"/>
    <w:rsid w:val="00A76DE2"/>
    <w:rsid w:val="00A81F37"/>
    <w:rsid w:val="00A831DC"/>
    <w:rsid w:val="00A83CB6"/>
    <w:rsid w:val="00A84B68"/>
    <w:rsid w:val="00A905A1"/>
    <w:rsid w:val="00A90B0A"/>
    <w:rsid w:val="00AA29D9"/>
    <w:rsid w:val="00AA2E29"/>
    <w:rsid w:val="00AB1859"/>
    <w:rsid w:val="00AB3983"/>
    <w:rsid w:val="00AB4033"/>
    <w:rsid w:val="00AB69DE"/>
    <w:rsid w:val="00AB753A"/>
    <w:rsid w:val="00AC2799"/>
    <w:rsid w:val="00AC55A5"/>
    <w:rsid w:val="00AD4884"/>
    <w:rsid w:val="00AD593F"/>
    <w:rsid w:val="00AD7493"/>
    <w:rsid w:val="00AE4768"/>
    <w:rsid w:val="00AE67C0"/>
    <w:rsid w:val="00AF6DFE"/>
    <w:rsid w:val="00B116B5"/>
    <w:rsid w:val="00B16728"/>
    <w:rsid w:val="00B226CC"/>
    <w:rsid w:val="00B24BB6"/>
    <w:rsid w:val="00B40CF0"/>
    <w:rsid w:val="00B46F6E"/>
    <w:rsid w:val="00B505DA"/>
    <w:rsid w:val="00B53ACF"/>
    <w:rsid w:val="00B6302A"/>
    <w:rsid w:val="00B632FA"/>
    <w:rsid w:val="00B64D2B"/>
    <w:rsid w:val="00B72EEE"/>
    <w:rsid w:val="00B73C99"/>
    <w:rsid w:val="00B76810"/>
    <w:rsid w:val="00B92B06"/>
    <w:rsid w:val="00BA5163"/>
    <w:rsid w:val="00BA61AC"/>
    <w:rsid w:val="00BC071A"/>
    <w:rsid w:val="00BD0E39"/>
    <w:rsid w:val="00BD4A7D"/>
    <w:rsid w:val="00BE494A"/>
    <w:rsid w:val="00BE6876"/>
    <w:rsid w:val="00BE7A13"/>
    <w:rsid w:val="00BF218B"/>
    <w:rsid w:val="00BF5536"/>
    <w:rsid w:val="00BF6FCE"/>
    <w:rsid w:val="00C10BE1"/>
    <w:rsid w:val="00C11580"/>
    <w:rsid w:val="00C1555E"/>
    <w:rsid w:val="00C22E2C"/>
    <w:rsid w:val="00C33676"/>
    <w:rsid w:val="00C42B51"/>
    <w:rsid w:val="00C457DB"/>
    <w:rsid w:val="00C63506"/>
    <w:rsid w:val="00C64885"/>
    <w:rsid w:val="00C65AC8"/>
    <w:rsid w:val="00C7112E"/>
    <w:rsid w:val="00C80D6B"/>
    <w:rsid w:val="00C82EE5"/>
    <w:rsid w:val="00C96610"/>
    <w:rsid w:val="00CA1A46"/>
    <w:rsid w:val="00CA3EDB"/>
    <w:rsid w:val="00CC493D"/>
    <w:rsid w:val="00CC6DFF"/>
    <w:rsid w:val="00CC79EE"/>
    <w:rsid w:val="00CD2D4F"/>
    <w:rsid w:val="00CD2F36"/>
    <w:rsid w:val="00CE7E66"/>
    <w:rsid w:val="00CF0E66"/>
    <w:rsid w:val="00D033E0"/>
    <w:rsid w:val="00D042B8"/>
    <w:rsid w:val="00D115C2"/>
    <w:rsid w:val="00D12CDC"/>
    <w:rsid w:val="00D137C1"/>
    <w:rsid w:val="00D1640F"/>
    <w:rsid w:val="00D23729"/>
    <w:rsid w:val="00D302F9"/>
    <w:rsid w:val="00D35B22"/>
    <w:rsid w:val="00D441E4"/>
    <w:rsid w:val="00D6061F"/>
    <w:rsid w:val="00D853EB"/>
    <w:rsid w:val="00D85CDD"/>
    <w:rsid w:val="00D90919"/>
    <w:rsid w:val="00D91A0E"/>
    <w:rsid w:val="00D92762"/>
    <w:rsid w:val="00D97157"/>
    <w:rsid w:val="00DA4504"/>
    <w:rsid w:val="00DB3876"/>
    <w:rsid w:val="00DC1B79"/>
    <w:rsid w:val="00DC2741"/>
    <w:rsid w:val="00DC5DB0"/>
    <w:rsid w:val="00DC5FBF"/>
    <w:rsid w:val="00DD18A6"/>
    <w:rsid w:val="00DD1AFA"/>
    <w:rsid w:val="00DD2EDA"/>
    <w:rsid w:val="00DE7B51"/>
    <w:rsid w:val="00DF0BE5"/>
    <w:rsid w:val="00DF1072"/>
    <w:rsid w:val="00DF2333"/>
    <w:rsid w:val="00E01E34"/>
    <w:rsid w:val="00E14F3E"/>
    <w:rsid w:val="00E16B22"/>
    <w:rsid w:val="00E31926"/>
    <w:rsid w:val="00E31BE1"/>
    <w:rsid w:val="00E35EA0"/>
    <w:rsid w:val="00E42979"/>
    <w:rsid w:val="00E445AE"/>
    <w:rsid w:val="00E46E7B"/>
    <w:rsid w:val="00E51713"/>
    <w:rsid w:val="00E53459"/>
    <w:rsid w:val="00E5542C"/>
    <w:rsid w:val="00E56ED9"/>
    <w:rsid w:val="00E70553"/>
    <w:rsid w:val="00E8011C"/>
    <w:rsid w:val="00E8111B"/>
    <w:rsid w:val="00E86941"/>
    <w:rsid w:val="00EA19ED"/>
    <w:rsid w:val="00EB03B9"/>
    <w:rsid w:val="00EB35E8"/>
    <w:rsid w:val="00EC2362"/>
    <w:rsid w:val="00EC27F0"/>
    <w:rsid w:val="00EC2AC1"/>
    <w:rsid w:val="00ED3980"/>
    <w:rsid w:val="00ED6C4A"/>
    <w:rsid w:val="00EE6811"/>
    <w:rsid w:val="00EF03C7"/>
    <w:rsid w:val="00EF066F"/>
    <w:rsid w:val="00EF7221"/>
    <w:rsid w:val="00F2090C"/>
    <w:rsid w:val="00F22A76"/>
    <w:rsid w:val="00F27B85"/>
    <w:rsid w:val="00F31BD3"/>
    <w:rsid w:val="00F37594"/>
    <w:rsid w:val="00F41431"/>
    <w:rsid w:val="00F51FCD"/>
    <w:rsid w:val="00F52301"/>
    <w:rsid w:val="00F6317D"/>
    <w:rsid w:val="00F632D2"/>
    <w:rsid w:val="00F64ED5"/>
    <w:rsid w:val="00F66B38"/>
    <w:rsid w:val="00F72189"/>
    <w:rsid w:val="00F81B43"/>
    <w:rsid w:val="00F8315B"/>
    <w:rsid w:val="00F94888"/>
    <w:rsid w:val="00FA4432"/>
    <w:rsid w:val="00FB0120"/>
    <w:rsid w:val="00FB4122"/>
    <w:rsid w:val="00FD765F"/>
    <w:rsid w:val="00FE083B"/>
    <w:rsid w:val="00FE0CFA"/>
    <w:rsid w:val="00FE6A0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6F8E9B"/>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E295C"/>
    <w:pPr>
      <w:spacing w:after="120"/>
    </w:pPr>
    <w:rPr>
      <w:sz w:val="24"/>
      <w:szCs w:val="24"/>
      <w:lang w:val="en-GB" w:eastAsia="en-GB"/>
    </w:rPr>
  </w:style>
  <w:style w:type="paragraph" w:styleId="Kop1">
    <w:name w:val="heading 1"/>
    <w:basedOn w:val="Standaard"/>
    <w:next w:val="Standaard"/>
    <w:qFormat/>
    <w:rsid w:val="009E295C"/>
    <w:pPr>
      <w:keepNext/>
      <w:spacing w:before="360" w:after="240"/>
      <w:outlineLvl w:val="0"/>
    </w:pPr>
    <w:rPr>
      <w:rFonts w:asciiTheme="majorHAnsi" w:hAnsiTheme="majorHAnsi"/>
      <w:b/>
      <w:sz w:val="28"/>
      <w:szCs w:val="20"/>
    </w:rPr>
  </w:style>
  <w:style w:type="paragraph" w:styleId="Kop2">
    <w:name w:val="heading 2"/>
    <w:basedOn w:val="Standaard"/>
    <w:next w:val="Standaard"/>
    <w:qFormat/>
    <w:rsid w:val="00524F2F"/>
    <w:pPr>
      <w:keepNext/>
      <w:outlineLvl w:val="1"/>
    </w:pPr>
    <w:rPr>
      <w:rFonts w:ascii="Book Antiqua" w:hAnsi="Book Antiqua"/>
      <w:b/>
      <w:i/>
      <w:szCs w:val="20"/>
    </w:rPr>
  </w:style>
  <w:style w:type="paragraph" w:styleId="Kop3">
    <w:name w:val="heading 3"/>
    <w:basedOn w:val="Standaard"/>
    <w:next w:val="Standaard"/>
    <w:qFormat/>
    <w:rsid w:val="00524F2F"/>
    <w:pPr>
      <w:keepNext/>
      <w:pBdr>
        <w:top w:val="single" w:sz="4" w:space="1" w:color="auto"/>
        <w:left w:val="single" w:sz="4" w:space="4" w:color="auto"/>
        <w:bottom w:val="single" w:sz="4" w:space="1" w:color="auto"/>
        <w:right w:val="single" w:sz="4" w:space="4" w:color="auto"/>
      </w:pBdr>
      <w:jc w:val="center"/>
      <w:outlineLvl w:val="2"/>
    </w:pPr>
    <w:rPr>
      <w:rFonts w:ascii="Book Antiqua" w:hAnsi="Book Antiqua"/>
      <w:szCs w:val="20"/>
    </w:rPr>
  </w:style>
  <w:style w:type="paragraph" w:styleId="Kop4">
    <w:name w:val="heading 4"/>
    <w:basedOn w:val="Standaard"/>
    <w:next w:val="Standaard"/>
    <w:qFormat/>
    <w:rsid w:val="00524F2F"/>
    <w:pPr>
      <w:keepNext/>
      <w:pBdr>
        <w:top w:val="single" w:sz="4" w:space="1" w:color="auto"/>
        <w:left w:val="single" w:sz="4" w:space="4" w:color="auto"/>
        <w:bottom w:val="single" w:sz="4" w:space="1" w:color="auto"/>
        <w:right w:val="single" w:sz="4" w:space="4" w:color="auto"/>
      </w:pBdr>
      <w:jc w:val="center"/>
      <w:outlineLvl w:val="3"/>
    </w:pPr>
    <w:rPr>
      <w:rFonts w:ascii="Book Antiqua" w:hAnsi="Book Antiqua"/>
      <w:b/>
      <w:i/>
      <w:szCs w:val="20"/>
      <w:u w:val="single"/>
    </w:rPr>
  </w:style>
  <w:style w:type="paragraph" w:styleId="Kop5">
    <w:name w:val="heading 5"/>
    <w:basedOn w:val="Standaard"/>
    <w:next w:val="Standaard"/>
    <w:qFormat/>
    <w:rsid w:val="00524F2F"/>
    <w:pPr>
      <w:keepNext/>
      <w:pBdr>
        <w:top w:val="single" w:sz="4" w:space="1" w:color="auto"/>
        <w:left w:val="single" w:sz="4" w:space="4" w:color="auto"/>
        <w:bottom w:val="single" w:sz="4" w:space="1" w:color="auto"/>
        <w:right w:val="single" w:sz="4" w:space="4" w:color="auto"/>
      </w:pBdr>
      <w:jc w:val="center"/>
      <w:outlineLvl w:val="4"/>
    </w:pPr>
    <w:rPr>
      <w:rFonts w:ascii="Book Antiqua" w:hAnsi="Book Antiqua"/>
      <w:b/>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rsid w:val="00524F2F"/>
    <w:rPr>
      <w:szCs w:val="20"/>
    </w:rPr>
  </w:style>
  <w:style w:type="paragraph" w:styleId="Voettekst">
    <w:name w:val="footer"/>
    <w:basedOn w:val="Standaard"/>
    <w:rsid w:val="00524F2F"/>
    <w:pPr>
      <w:tabs>
        <w:tab w:val="center" w:pos="4153"/>
        <w:tab w:val="right" w:pos="8306"/>
      </w:tabs>
    </w:pPr>
    <w:rPr>
      <w:sz w:val="20"/>
      <w:szCs w:val="20"/>
    </w:rPr>
  </w:style>
  <w:style w:type="character" w:styleId="Paginanummer">
    <w:name w:val="page number"/>
    <w:basedOn w:val="Standaardalinea-lettertype"/>
    <w:rsid w:val="00524F2F"/>
  </w:style>
  <w:style w:type="paragraph" w:styleId="Koptekst">
    <w:name w:val="header"/>
    <w:basedOn w:val="Standaard"/>
    <w:rsid w:val="00524F2F"/>
    <w:pPr>
      <w:tabs>
        <w:tab w:val="center" w:pos="4320"/>
        <w:tab w:val="right" w:pos="8640"/>
      </w:tabs>
    </w:pPr>
  </w:style>
  <w:style w:type="paragraph" w:customStyle="1" w:styleId="5Normal">
    <w:name w:val="5 Normal"/>
    <w:rsid w:val="00524F2F"/>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jc w:val="both"/>
    </w:pPr>
    <w:rPr>
      <w:rFonts w:ascii="Arial" w:hAnsi="Arial"/>
      <w:spacing w:val="-2"/>
      <w:sz w:val="22"/>
      <w:lang w:val="en-GB" w:eastAsia="en-GB"/>
    </w:rPr>
  </w:style>
  <w:style w:type="character" w:styleId="Verwijzingopmerking">
    <w:name w:val="annotation reference"/>
    <w:basedOn w:val="Standaardalinea-lettertype"/>
    <w:semiHidden/>
    <w:rsid w:val="00524F2F"/>
    <w:rPr>
      <w:sz w:val="16"/>
      <w:szCs w:val="16"/>
    </w:rPr>
  </w:style>
  <w:style w:type="paragraph" w:styleId="Tekstopmerking">
    <w:name w:val="annotation text"/>
    <w:basedOn w:val="Standaard"/>
    <w:semiHidden/>
    <w:rsid w:val="00524F2F"/>
    <w:rPr>
      <w:sz w:val="20"/>
      <w:szCs w:val="20"/>
    </w:rPr>
  </w:style>
  <w:style w:type="paragraph" w:styleId="Onderwerpvanopmerking">
    <w:name w:val="annotation subject"/>
    <w:basedOn w:val="Tekstopmerking"/>
    <w:next w:val="Tekstopmerking"/>
    <w:semiHidden/>
    <w:rsid w:val="00524F2F"/>
    <w:rPr>
      <w:b/>
      <w:bCs/>
    </w:rPr>
  </w:style>
  <w:style w:type="paragraph" w:styleId="Ballontekst">
    <w:name w:val="Balloon Text"/>
    <w:basedOn w:val="Standaard"/>
    <w:semiHidden/>
    <w:rsid w:val="00524F2F"/>
    <w:rPr>
      <w:rFonts w:ascii="Tahoma" w:hAnsi="Tahoma" w:cs="Helvetica"/>
      <w:sz w:val="16"/>
      <w:szCs w:val="16"/>
    </w:rPr>
  </w:style>
  <w:style w:type="character" w:styleId="Hyperlink">
    <w:name w:val="Hyperlink"/>
    <w:basedOn w:val="Standaardalinea-lettertype"/>
    <w:rsid w:val="00524F2F"/>
    <w:rPr>
      <w:color w:val="0000FF"/>
      <w:u w:val="single"/>
    </w:rPr>
  </w:style>
  <w:style w:type="paragraph" w:styleId="Lijst">
    <w:name w:val="List"/>
    <w:basedOn w:val="Standaard"/>
    <w:rsid w:val="00524F2F"/>
    <w:pPr>
      <w:ind w:left="283" w:hanging="283"/>
    </w:pPr>
  </w:style>
  <w:style w:type="paragraph" w:styleId="Lijstopsomteken">
    <w:name w:val="List Bullet"/>
    <w:basedOn w:val="Standaard"/>
    <w:uiPriority w:val="99"/>
    <w:unhideWhenUsed/>
    <w:rsid w:val="009E295C"/>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13</Pages>
  <Words>5992</Words>
  <Characters>32958</Characters>
  <Application>Microsoft Office Word</Application>
  <DocSecurity>0</DocSecurity>
  <Lines>274</Lines>
  <Paragraphs>77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Een speler van wereldformaat- De externe betrekkingen van de Europese Unie</vt:lpstr>
      <vt:lpstr>Een speler van wereldformaat- De externe betrekkingen van de Europese Unie</vt:lpstr>
    </vt:vector>
  </TitlesOfParts>
  <Company>European Commission</Company>
  <LinksUpToDate>false</LinksUpToDate>
  <CharactersWithSpaces>38873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Een speler van wereldformaat- De externe betrekkingen van de Europese Unie</dc:title>
  <dc:subject>De externe betrekkingen van de Europese Unie</dc:subject>
  <dc:creator>COMM/PRESS/B02</dc:creator>
  <cp:keywords>internationale vraagstukken, externe betrekkingen, wereld, europa in beweging, publicaties, europese unie, eu</cp:keywords>
  <cp:lastModifiedBy>Danny Devriendt</cp:lastModifiedBy>
  <cp:revision>4</cp:revision>
  <cp:lastPrinted>2004-10-27T11:02:00Z</cp:lastPrinted>
  <dcterms:created xsi:type="dcterms:W3CDTF">2007-08-15T17:57:00Z</dcterms:created>
  <dcterms:modified xsi:type="dcterms:W3CDTF">2019-08-01T11:53:00Z</dcterms:modified>
  <cp:category>Europa in beweging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1254513404</vt:i4>
  </property>
  <property fmtid="{D5CDD505-2E9C-101B-9397-08002B2CF9AE}" pid="3" name="_EmailSubject">
    <vt:lpwstr>A world player-External relations (2004/1334)- Manuscrits toilettés</vt:lpwstr>
  </property>
  <property fmtid="{D5CDD505-2E9C-101B-9397-08002B2CF9AE}" pid="4" name="_AuthorEmail">
    <vt:lpwstr>Donatella.Bellesi@cec.eu.int</vt:lpwstr>
  </property>
  <property fmtid="{D5CDD505-2E9C-101B-9397-08002B2CF9AE}" pid="5" name="_AuthorEmailDisplayName">
    <vt:lpwstr>BELLESI Donatella (OPOCE)</vt:lpwstr>
  </property>
  <property fmtid="{D5CDD505-2E9C-101B-9397-08002B2CF9AE}" pid="6" name="_PreviousAdHocReviewCycleID">
    <vt:i4>982380542</vt:i4>
  </property>
  <property fmtid="{D5CDD505-2E9C-101B-9397-08002B2CF9AE}" pid="7" name="_ReviewingToolsShownOnce">
    <vt:lpwstr/>
  </property>
</Properties>
</file>