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85A166" w14:textId="77777777" w:rsidR="00326DFE" w:rsidRDefault="00994347">
      <w:pPr>
        <w:rPr>
          <w:b/>
          <w:sz w:val="48"/>
        </w:rPr>
      </w:pPr>
      <w:bookmarkStart w:id="0" w:name="BM_1_"/>
      <w:bookmarkStart w:id="1" w:name="_GoBack"/>
      <w:bookmarkEnd w:id="0"/>
      <w:bookmarkEnd w:id="1"/>
      <w:r>
        <w:rPr>
          <w:b/>
          <w:sz w:val="48"/>
        </w:rPr>
        <w:t>Geef plasma</w:t>
      </w:r>
    </w:p>
    <w:p w14:paraId="768DB0F9" w14:textId="77777777" w:rsidR="00326DFE" w:rsidRDefault="00994347">
      <w:pPr>
        <w:pStyle w:val="Kop1"/>
      </w:pPr>
      <w:r>
        <w:t>Wat is plasma?</w:t>
      </w:r>
    </w:p>
    <w:p w14:paraId="34CB4861" w14:textId="77777777" w:rsidR="00326DFE" w:rsidRDefault="00994347">
      <w:r>
        <w:t>Plasma is het vloeibare gedeelte van het bloed, afgescheiden van de andere bestanddelen. Het is samengesteld uit water, koolhydraten, vetten, minerale zouten vitaminen hormonen en afvalproducten uit de verbranding van spierarbeid</w:t>
      </w:r>
    </w:p>
    <w:p w14:paraId="75A477E5" w14:textId="77777777" w:rsidR="00326DFE" w:rsidRDefault="00994347">
      <w:pPr>
        <w:pStyle w:val="Kop1"/>
      </w:pPr>
      <w:r>
        <w:t>Waarom plasma geven?</w:t>
      </w:r>
    </w:p>
    <w:p w14:paraId="4198710C" w14:textId="77777777" w:rsidR="00326DFE" w:rsidRDefault="00994347">
      <w:r>
        <w:t>Wegens het constante gebrek aan bloed heeft de wetenschap gezocht naar een middel om zo spaarzaam mogelijk om te springen met het bloed.</w:t>
      </w:r>
    </w:p>
    <w:p w14:paraId="10359FB8" w14:textId="77777777" w:rsidR="00326DFE" w:rsidRDefault="00994347">
      <w:r>
        <w:t>Bloed heeft een complexe samenstelling en is niet altijd in zijn volledige vorm nodig om de zieke te helpen. Vandaar dat de plasmaferese nu een algemeen verspreide techniek is. Het plasma bevat heel wat bestanddelen die de gever rustig kan missen maar die voor anderen, bij het voorkomen of het genezen van ziekten, erg waardevol zijn.</w:t>
      </w:r>
    </w:p>
    <w:p w14:paraId="743D1ED2" w14:textId="77777777" w:rsidR="00326DFE" w:rsidRDefault="00994347">
      <w:r>
        <w:t>Plasma is veel langer houdbaar dan vol bloed. Het wordt zo behandeld dat het vrijwel onbeperkt bewaarbaar is. Bovendien kan men plasma fractioneren, d.w.z. opsplitsen in verschillende bestanddelen, o.a. factor VIII, factor IX, fibrinogeen, albumine, SOPP (stabiele oplossing van plasmaproteïnen), gewone en speciale gammaglobulines.</w:t>
      </w:r>
    </w:p>
    <w:p w14:paraId="67D45B58" w14:textId="77777777" w:rsidR="00326DFE" w:rsidRDefault="00994347">
      <w:pPr>
        <w:pStyle w:val="Kop1"/>
      </w:pPr>
      <w:r>
        <w:t>Wie mag plasma geven</w:t>
      </w:r>
    </w:p>
    <w:p w14:paraId="58C11EF3" w14:textId="77777777" w:rsidR="00326DFE" w:rsidRDefault="00994347">
      <w:r>
        <w:t>Hiervoor gelden dezelfde normen als voor het bloedgeven.</w:t>
      </w:r>
    </w:p>
    <w:p w14:paraId="03CD4445" w14:textId="77777777" w:rsidR="00326DFE" w:rsidRDefault="00994347">
      <w:pPr>
        <w:pStyle w:val="Kop1"/>
      </w:pPr>
      <w:r>
        <w:t>Hoe dikwijls mag men plasma geven?</w:t>
      </w:r>
    </w:p>
    <w:p w14:paraId="74C0C56F" w14:textId="77777777" w:rsidR="00326DFE" w:rsidRDefault="00994347">
      <w:r>
        <w:t>De donor staat alleen plasma af en verliest geen bloed of ijzer. Plasma wordt ook vlugger aangemaakt dan bloed. Daarom komen veel meer mensen in aanmerking om plasma te geven. Zonder gevaar voor de gezondheid kan men plasma geven om de week, 14 dagen, 3 weken, 1 maand, zoals men zelf verkiest.</w:t>
      </w:r>
    </w:p>
    <w:p w14:paraId="22632046" w14:textId="77777777" w:rsidR="00326DFE" w:rsidRDefault="00994347">
      <w:r>
        <w:t>Plasma geven sluit bloed geven niet uit.</w:t>
      </w:r>
    </w:p>
    <w:p w14:paraId="4FD9D51A" w14:textId="77777777" w:rsidR="00326DFE" w:rsidRDefault="00994347">
      <w:pPr>
        <w:pStyle w:val="Kop1"/>
      </w:pPr>
      <w:r>
        <w:t>Hoe verloopt een plasmagift?</w:t>
      </w:r>
    </w:p>
    <w:p w14:paraId="72D11EB5" w14:textId="77777777" w:rsidR="00326DFE" w:rsidRDefault="00994347">
      <w:r>
        <w:t>Evenmin als bloedgeven, is plasmageven iets om tegen op te zien. Bij plasmaferese wordt, net als bij bloedgeven, vol bloed afgenomen maar de holle naald blijft in de ader zitten. De zak met bloed wordt afgesloten. In een centrifuge wordt, door snel rondslingeren, het plasma van de bloedcellen en de bloedplaatjes gescheiden.</w:t>
      </w:r>
    </w:p>
    <w:p w14:paraId="5B9404E8" w14:textId="77777777" w:rsidR="00326DFE" w:rsidRDefault="00994347">
      <w:r>
        <w:t>Intussen verhindert een fysiologische vloeistof dat de leiding verstopt raakt en schenkt alvast een beetje water en zout terug dat de gever bij de plasmagift verliest.</w:t>
      </w:r>
    </w:p>
    <w:p w14:paraId="588D1B8F" w14:textId="77777777" w:rsidR="00326DFE" w:rsidRDefault="00994347">
      <w:r>
        <w:t>Via dezelfde naald krijgt de donor vervolgens zijn eigen bloedcellen terug. Dit is een enkele plasmaferese.</w:t>
      </w:r>
    </w:p>
    <w:p w14:paraId="386730A4" w14:textId="77777777" w:rsidR="00326DFE" w:rsidRDefault="00994347">
      <w:r>
        <w:t>Het procédé mag nog een tweede maal herhaald worden. Dit is dan dubbele plasmaferese.</w:t>
      </w:r>
    </w:p>
    <w:p w14:paraId="69C1C86F" w14:textId="77777777" w:rsidR="00326DFE" w:rsidRDefault="00994347">
      <w:pPr>
        <w:pStyle w:val="Kop1"/>
      </w:pPr>
      <w:r>
        <w:lastRenderedPageBreak/>
        <w:t>Waarvoor wordt plasma gebruikt?</w:t>
      </w:r>
    </w:p>
    <w:p w14:paraId="4A3347C1" w14:textId="77777777" w:rsidR="00326DFE" w:rsidRDefault="00994347">
      <w:r>
        <w:t>De eindproducten van het plasma zijn in drie groepen onder te brengen:</w:t>
      </w:r>
    </w:p>
    <w:p w14:paraId="2C549380" w14:textId="77777777" w:rsidR="00326DFE" w:rsidRDefault="00994347">
      <w:r>
        <w:t>Middelen om shocktoestanden te vermijden en tijdelijk bloed te vervangen: tot deze groep behoort het SOPP dat voor elke bloedgroep als EHBO-middel kan dienen en dat de bloeddruk op peil houdt tot er bloed beschikbaar is.</w:t>
      </w:r>
    </w:p>
    <w:p w14:paraId="43AB6DEA" w14:textId="77777777" w:rsidR="00326DFE" w:rsidRDefault="00994347">
      <w:r>
        <w:t>Bloedstollingsfactoren: de belangrijkste bloedstollingsfactor die uit plasma-eiwitten gefractioneerd wordt, is het cryoprecipitaat, waarmee bloedingen bij de meeste hemofilie</w:t>
      </w:r>
      <w:r>
        <w:softHyphen/>
        <w:t>patiënten kunnen gestelpt of zelfs voorkomen worden. Alleen al voor de 600 hemofilie</w:t>
      </w:r>
      <w:r>
        <w:softHyphen/>
        <w:t>patiënten van België is jaarlijks 20 000 l plasma vereist.</w:t>
      </w:r>
      <w:r>
        <w:br/>
        <w:t>Verder is er het stollingspreparaat PPSB dat vooral gebruikt wordt om bloedingen te stelpen bij mensen met leveraandoeningen, vitamine K</w:t>
      </w:r>
      <w:r>
        <w:noBreakHyphen/>
        <w:t>tekort of bij bloedingen door therapie met anti-stollingsmiddelen. Fibrinogeen tenslotte is nodig b.v. bij vrouwen met onstelpbare bloedingen na bevalling.</w:t>
      </w:r>
    </w:p>
    <w:p w14:paraId="22A490BD" w14:textId="77777777" w:rsidR="00326DFE" w:rsidRDefault="00994347">
      <w:r>
        <w:t>Afweerstoffen: het plasma levert verschillende afweerstoffen. Zo onderscheiden wij gammaglobulinen die beschermen tegen infecties zoals mazelen, waterpokken, rode hond, geelzucht, tetanus, bof en hondsdolheid en gammaglobulinen die rhesusziekte van de pasgeborene voorkomen.</w:t>
      </w:r>
    </w:p>
    <w:p w14:paraId="1E515743" w14:textId="77777777" w:rsidR="00326DFE" w:rsidRDefault="00994347">
      <w:pPr>
        <w:pStyle w:val="Kop1"/>
      </w:pPr>
      <w:r>
        <w:t>Welke testen worden gedaan?</w:t>
      </w:r>
    </w:p>
    <w:p w14:paraId="318D6C73" w14:textId="77777777" w:rsidR="00326DFE" w:rsidRDefault="00994347">
      <w:pPr>
        <w:pStyle w:val="Kop2"/>
      </w:pPr>
      <w:r>
        <w:t>Bloedbezinking</w:t>
      </w:r>
    </w:p>
    <w:p w14:paraId="198639B8" w14:textId="77777777" w:rsidR="00326DFE" w:rsidRDefault="00994347">
      <w:r>
        <w:t>De bloedbezinking is een zeer gevoelige test. Ze kan o.a. verhoogd zijn bij een besmet</w:t>
      </w:r>
      <w:r>
        <w:softHyphen/>
        <w:t>ting.</w:t>
      </w:r>
    </w:p>
    <w:p w14:paraId="4D60F553" w14:textId="77777777" w:rsidR="00326DFE" w:rsidRDefault="00994347">
      <w:pPr>
        <w:pStyle w:val="Kop2"/>
      </w:pPr>
      <w:r>
        <w:t>Hemoglobine</w:t>
      </w:r>
    </w:p>
    <w:p w14:paraId="1BB054CF" w14:textId="77777777" w:rsidR="00326DFE" w:rsidRDefault="00994347">
      <w:r>
        <w:t>Een tekort aan bloedkleurstof of hemoglobine wijst dikwijls op een ijzertekort.</w:t>
      </w:r>
    </w:p>
    <w:p w14:paraId="56B25301" w14:textId="77777777" w:rsidR="00326DFE" w:rsidRDefault="00994347">
      <w:pPr>
        <w:pStyle w:val="Kop2"/>
      </w:pPr>
      <w:r>
        <w:t>Serologische onderzoeken</w:t>
      </w:r>
    </w:p>
    <w:p w14:paraId="122723FC" w14:textId="77777777" w:rsidR="00326DFE" w:rsidRDefault="00994347">
      <w:r>
        <w:t>Syfilis.</w:t>
      </w:r>
    </w:p>
    <w:p w14:paraId="029C2D21" w14:textId="77777777" w:rsidR="00326DFE" w:rsidRDefault="00994347">
      <w:r>
        <w:t>Bij iedere plasmagift worden deze testen herhaald.</w:t>
      </w:r>
    </w:p>
    <w:p w14:paraId="3C7BEF67" w14:textId="77777777" w:rsidR="00326DFE" w:rsidRDefault="00994347">
      <w:pPr>
        <w:pStyle w:val="Kop2"/>
      </w:pPr>
      <w:r>
        <w:t>Aids-antistoffen</w:t>
      </w:r>
    </w:p>
    <w:p w14:paraId="799C26E5" w14:textId="77777777" w:rsidR="00326DFE" w:rsidRDefault="00994347">
      <w:r>
        <w:t xml:space="preserve">Het plasma van de plasmagevers wordt sinds 1 augustus 1985 systematisch onderzocht op AIDS-antistoffen. Deze test is niet sluitend en daarom blijft het Rode Kruis aan alle personen die met het zogenaamde HIV-virus in contact kunnen geweest zijn </w:t>
      </w:r>
      <w:r>
        <w:noBreakHyphen/>
        <w:t> de zoge</w:t>
      </w:r>
      <w:r>
        <w:softHyphen/>
        <w:t>naamde risicogroepen </w:t>
      </w:r>
      <w:r>
        <w:noBreakHyphen/>
        <w:t xml:space="preserve"> vragen zich van bloed- en plasmageven te onthouden. Wanneer het resultaat van zo'n test positief is, wordt dat pas veel later, nadat tal van tests door andere instanties dan het Rode Kruis werden uitgevoerd, meege</w:t>
      </w:r>
      <w:r>
        <w:softHyphen/>
        <w:t>deeld</w:t>
      </w:r>
    </w:p>
    <w:p w14:paraId="768D2649" w14:textId="77777777" w:rsidR="00326DFE" w:rsidRDefault="00994347">
      <w:pPr>
        <w:pStyle w:val="Kop2"/>
      </w:pPr>
      <w:r>
        <w:t>Urine-onderzoek</w:t>
      </w:r>
    </w:p>
    <w:p w14:paraId="2002AB8B" w14:textId="77777777" w:rsidR="00326DFE" w:rsidRDefault="00994347">
      <w:r>
        <w:t>Opsporen van eiwit en glucose in de urine.</w:t>
      </w:r>
    </w:p>
    <w:p w14:paraId="217BB210" w14:textId="77777777" w:rsidR="00326DFE" w:rsidRDefault="00994347">
      <w:pPr>
        <w:pStyle w:val="Kop1"/>
        <w:jc w:val="center"/>
      </w:pPr>
      <w:r>
        <w:t>Waar en wanneer plasma geven?</w:t>
      </w:r>
    </w:p>
    <w:p w14:paraId="216ADCFE" w14:textId="77777777" w:rsidR="00326DFE" w:rsidRDefault="00994347">
      <w:pPr>
        <w:jc w:val="center"/>
      </w:pPr>
      <w:r>
        <w:t>In het Bloedtransfusiecentrum</w:t>
      </w:r>
      <w:r>
        <w:br/>
        <w:t>Vijfwindgatenstraat 30</w:t>
      </w:r>
      <w:r>
        <w:br/>
      </w:r>
      <w:r>
        <w:lastRenderedPageBreak/>
        <w:t>9000 GENT</w:t>
      </w:r>
      <w:r>
        <w:br/>
        <w:t>09 225 20 60</w:t>
      </w:r>
    </w:p>
    <w:p w14:paraId="1BACB333" w14:textId="77777777" w:rsidR="00326DFE" w:rsidRDefault="00994347">
      <w:pPr>
        <w:jc w:val="center"/>
      </w:pPr>
      <w:r>
        <w:t>Uren van de plasmaferesezittingen:</w:t>
      </w:r>
      <w:r>
        <w:br/>
        <w:t>9.00 uur, 10.15 uur</w:t>
      </w:r>
      <w:r>
        <w:br/>
        <w:t>13.30 uur, 14.45 uur, 16.00 uur, 17.30 uur, 18.45 uur.</w:t>
      </w:r>
    </w:p>
    <w:sectPr w:rsidR="00326DFE">
      <w:type w:val="continuous"/>
      <w:pgSz w:w="11904" w:h="16836"/>
      <w:pgMar w:top="1416" w:right="2268" w:bottom="1416" w:left="226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20"/>
  <w:hyphenationZone w:val="921"/>
  <w:doNotHyphenateCaps/>
  <w:drawingGridHorizontalSpacing w:val="120"/>
  <w:drawingGridVerticalSpacing w:val="120"/>
  <w:displayVerticalDrawingGridEvery w:val="0"/>
  <w:doNotUseMarginsForDrawingGridOrigin/>
  <w:doNotShadeFormData/>
  <w:noPunctuationKerning/>
  <w:characterSpacingControl w:val="doNotCompress"/>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347"/>
    <w:rsid w:val="00326DFE"/>
    <w:rsid w:val="00994347"/>
    <w:rsid w:val="009C769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125198"/>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1)" w:eastAsia="Times New Roman" w:hAnsi="CG Times (W1)"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overflowPunct w:val="0"/>
      <w:autoSpaceDE w:val="0"/>
      <w:autoSpaceDN w:val="0"/>
      <w:adjustRightInd w:val="0"/>
      <w:textAlignment w:val="baseline"/>
    </w:pPr>
    <w:rPr>
      <w:rFonts w:ascii="Times New Roman" w:hAnsi="Times New Roman"/>
      <w:sz w:val="24"/>
      <w:lang w:val="nl" w:eastAsia="en-US"/>
    </w:rPr>
  </w:style>
  <w:style w:type="paragraph" w:styleId="Kop1">
    <w:name w:val="heading 1"/>
    <w:basedOn w:val="Standaard"/>
    <w:next w:val="Standaard"/>
    <w:qFormat/>
    <w:pPr>
      <w:keepNext/>
      <w:spacing w:before="240" w:after="60"/>
      <w:outlineLvl w:val="0"/>
    </w:pPr>
    <w:rPr>
      <w:rFonts w:ascii="Arial" w:hAnsi="Arial"/>
      <w:b/>
      <w:kern w:val="28"/>
      <w:sz w:val="28"/>
    </w:rPr>
  </w:style>
  <w:style w:type="paragraph" w:styleId="Kop2">
    <w:name w:val="heading 2"/>
    <w:basedOn w:val="Standaard"/>
    <w:next w:val="Standaard"/>
    <w:qFormat/>
    <w:pPr>
      <w:keepNext/>
      <w:spacing w:before="240" w:after="60"/>
      <w:outlineLvl w:val="1"/>
    </w:pPr>
    <w:rPr>
      <w:rFonts w:ascii="Arial" w:hAnsi="Arial"/>
      <w:b/>
      <w:i/>
    </w:rPr>
  </w:style>
  <w:style w:type="paragraph" w:styleId="Kop4">
    <w:name w:val="heading 4"/>
    <w:basedOn w:val="Standaard"/>
    <w:qFormat/>
    <w:pPr>
      <w:ind w:left="354"/>
      <w:outlineLvl w:val="3"/>
    </w:pPr>
    <w:rPr>
      <w:u w:val="single"/>
    </w:rPr>
  </w:style>
  <w:style w:type="paragraph" w:styleId="Kop5">
    <w:name w:val="heading 5"/>
    <w:basedOn w:val="Standaard"/>
    <w:qFormat/>
    <w:pPr>
      <w:ind w:left="708"/>
      <w:outlineLvl w:val="4"/>
    </w:pPr>
    <w:rPr>
      <w:b/>
    </w:rPr>
  </w:style>
  <w:style w:type="paragraph" w:styleId="Kop6">
    <w:name w:val="heading 6"/>
    <w:basedOn w:val="Standaard"/>
    <w:qFormat/>
    <w:pPr>
      <w:ind w:left="708"/>
      <w:outlineLvl w:val="5"/>
    </w:pPr>
    <w:rPr>
      <w:u w:val="single"/>
    </w:rPr>
  </w:style>
  <w:style w:type="paragraph" w:styleId="Kop7">
    <w:name w:val="heading 7"/>
    <w:basedOn w:val="Standaard"/>
    <w:qFormat/>
    <w:pPr>
      <w:ind w:left="708"/>
      <w:outlineLvl w:val="6"/>
    </w:pPr>
    <w:rPr>
      <w:i/>
    </w:rPr>
  </w:style>
  <w:style w:type="paragraph" w:styleId="Kop8">
    <w:name w:val="heading 8"/>
    <w:basedOn w:val="Standaard"/>
    <w:qFormat/>
    <w:pPr>
      <w:ind w:left="708"/>
      <w:outlineLvl w:val="7"/>
    </w:pPr>
    <w:rPr>
      <w:i/>
    </w:rPr>
  </w:style>
  <w:style w:type="paragraph" w:styleId="Kop9">
    <w:name w:val="heading 9"/>
    <w:basedOn w:val="Standaard"/>
    <w:qFormat/>
    <w:pPr>
      <w:ind w:left="708"/>
      <w:outlineLvl w:val="8"/>
    </w:pPr>
    <w:rPr>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semiHidden/>
    <w:pPr>
      <w:tabs>
        <w:tab w:val="center" w:pos="4819"/>
        <w:tab w:val="right" w:pos="9071"/>
      </w:tabs>
    </w:pPr>
  </w:style>
  <w:style w:type="paragraph" w:styleId="Koptekst">
    <w:name w:val="header"/>
    <w:basedOn w:val="Standaard"/>
    <w:semiHidden/>
    <w:pPr>
      <w:tabs>
        <w:tab w:val="center" w:pos="4819"/>
        <w:tab w:val="right" w:pos="9071"/>
      </w:tabs>
    </w:pPr>
  </w:style>
  <w:style w:type="character" w:styleId="Voetnootmarkering">
    <w:name w:val="footnote reference"/>
    <w:basedOn w:val="Standaardalinea-lettertype"/>
    <w:semiHidden/>
    <w:rPr>
      <w:position w:val="6"/>
      <w:sz w:val="16"/>
    </w:rPr>
  </w:style>
  <w:style w:type="paragraph" w:styleId="Voetnoottekst">
    <w:name w:val="footnote text"/>
    <w:basedOn w:val="Standaard"/>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702</Words>
  <Characters>3862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Geef plasma</vt:lpstr>
    </vt:vector>
  </TitlesOfParts>
  <Company>WWW-Soft</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Geef plasma</dc:title>
  <dc:subject/>
  <dc:creator>Danny Devriendt</dc:creator>
  <cp:keywords/>
  <dc:description/>
  <cp:lastModifiedBy>Danny Devriendt</cp:lastModifiedBy>
  <cp:revision>3</cp:revision>
  <cp:lastPrinted>1899-12-31T23:00:00Z</cp:lastPrinted>
  <dcterms:created xsi:type="dcterms:W3CDTF">2007-08-26T14:44:00Z</dcterms:created>
  <dcterms:modified xsi:type="dcterms:W3CDTF">2019-08-01T12:01:00Z</dcterms:modified>
</cp:coreProperties>
</file>