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A9357" w14:textId="77777777" w:rsidR="00293C9D" w:rsidRDefault="00873753">
      <w:pPr>
        <w:pStyle w:val="Kop1"/>
      </w:pPr>
      <w:bookmarkStart w:id="0" w:name="_GoBack"/>
      <w:bookmarkEnd w:id="0"/>
      <w:r>
        <w:t>A short history</w:t>
      </w:r>
    </w:p>
    <w:p w14:paraId="54B3332E" w14:textId="77777777" w:rsidR="00293C9D" w:rsidRPr="00387C5C" w:rsidRDefault="00873753">
      <w:r w:rsidRPr="00387C5C">
        <w:t>When Leo Leander Bekaert started making barbed wire in 1880, what he did was not so very unique, but how he did it and where he did it were. The prevailing industrial philosophy of the time required finished products to be manufactured as close as possible to the source of the raw materials. Leo Bekaert, however, manufactured his product as close as possible to his market. He was selling to farmers, so he made his barbed wire where the farmers were.</w:t>
      </w:r>
    </w:p>
    <w:p w14:paraId="79BF413D" w14:textId="77777777" w:rsidR="00293C9D" w:rsidRDefault="00873753">
      <w:r>
        <w:t>And he very rapidly diversified: from barbed wire he went to bedsprings, wire netting, steel wire, and nails. Thus, he set a pattern of pragmatism, realism, and adaptability that has served Bekaert well throughout our turbulent century.</w:t>
      </w:r>
    </w:p>
    <w:p w14:paraId="3936BB4B" w14:textId="77777777" w:rsidR="00293C9D" w:rsidRDefault="00873753">
      <w:r>
        <w:t>World War I marked the end of the First Industrial Revolution and the society it supported. It also forced fundamental changes in Leo Bekaert’s company, for the Bekaert plant – along with most of Belgium – was devastated.</w:t>
      </w:r>
    </w:p>
    <w:p w14:paraId="03BC0916" w14:textId="77777777" w:rsidR="00293C9D" w:rsidRDefault="00873753">
      <w:r>
        <w:t>Only a few of the machines could be recovered, but Leo Bekaert’s primary assets were intact: his own entrepreneurial drive and his extraordinarily loyal staff.</w:t>
      </w:r>
    </w:p>
    <w:p w14:paraId="5FB5467D" w14:textId="77777777" w:rsidR="00293C9D" w:rsidRDefault="00873753">
      <w:r>
        <w:t>When Leo Bekaert entrusted the daily operation of the company to his sons in 1920, a new economic, political, and social era had dawned. And they adapted. The impending economic crisis and rampant protectionism made international expansion necessary for survival, and technological advances led to the conversion from steam to electrical power, which ushered in the Second Industrial Revolution.</w:t>
      </w:r>
    </w:p>
    <w:p w14:paraId="485E1DC6" w14:textId="77777777" w:rsidR="00293C9D" w:rsidRDefault="00873753">
      <w:pPr>
        <w:pStyle w:val="Kop1"/>
      </w:pPr>
      <w:r>
        <w:t>Bekaert in a nutshell</w:t>
      </w:r>
    </w:p>
    <w:p w14:paraId="5DA91224" w14:textId="77777777" w:rsidR="00293C9D" w:rsidRDefault="00873753">
      <w:pPr>
        <w:tabs>
          <w:tab w:val="left" w:pos="3969"/>
        </w:tabs>
      </w:pPr>
      <w:r>
        <w:t>Number of factories</w:t>
      </w:r>
      <w:r>
        <w:tab/>
        <w:t>70</w:t>
      </w:r>
    </w:p>
    <w:p w14:paraId="3A29C76B" w14:textId="77777777" w:rsidR="00293C9D" w:rsidRDefault="00873753">
      <w:pPr>
        <w:tabs>
          <w:tab w:val="left" w:pos="3969"/>
        </w:tabs>
      </w:pPr>
      <w:r>
        <w:t>Number of countries</w:t>
      </w:r>
      <w:r>
        <w:tab/>
        <w:t>22</w:t>
      </w:r>
    </w:p>
    <w:p w14:paraId="6FD433A0" w14:textId="77777777" w:rsidR="00293C9D" w:rsidRDefault="00873753">
      <w:pPr>
        <w:tabs>
          <w:tab w:val="left" w:pos="3969"/>
        </w:tabs>
      </w:pPr>
      <w:r>
        <w:t>Number of sales offices/distribution centers</w:t>
      </w:r>
      <w:r>
        <w:tab/>
        <w:t>45</w:t>
      </w:r>
    </w:p>
    <w:p w14:paraId="3ACD8693" w14:textId="77777777" w:rsidR="00293C9D" w:rsidRDefault="00873753">
      <w:pPr>
        <w:tabs>
          <w:tab w:val="left" w:pos="3969"/>
        </w:tabs>
      </w:pPr>
      <w:r>
        <w:t>Turnover – 1999 (billion Euro)</w:t>
      </w:r>
      <w:r>
        <w:tab/>
        <w:t>2,5</w:t>
      </w:r>
    </w:p>
    <w:p w14:paraId="79B07C35" w14:textId="77777777" w:rsidR="00293C9D" w:rsidRDefault="00873753">
      <w:pPr>
        <w:tabs>
          <w:tab w:val="left" w:pos="3969"/>
        </w:tabs>
      </w:pPr>
      <w:r>
        <w:t>Volume – 1999 (000 tonnes)</w:t>
      </w:r>
      <w:r>
        <w:tab/>
        <w:t>2,310</w:t>
      </w:r>
    </w:p>
    <w:p w14:paraId="0299F00C" w14:textId="77777777" w:rsidR="00293C9D" w:rsidRDefault="00873753">
      <w:pPr>
        <w:tabs>
          <w:tab w:val="left" w:pos="3969"/>
        </w:tabs>
      </w:pPr>
      <w:r>
        <w:t>Number of people – 1999</w:t>
      </w:r>
      <w:r>
        <w:tab/>
        <w:t>16,452</w:t>
      </w:r>
    </w:p>
    <w:p w14:paraId="669ABA53" w14:textId="77777777" w:rsidR="00293C9D" w:rsidRDefault="00873753">
      <w:pPr>
        <w:tabs>
          <w:tab w:val="left" w:pos="3969"/>
        </w:tabs>
      </w:pPr>
      <w:r>
        <w:t>Principal shareholder</w:t>
      </w:r>
      <w:r>
        <w:tab/>
        <w:t>Bekaert Family</w:t>
      </w:r>
    </w:p>
    <w:p w14:paraId="58EAE44F" w14:textId="77777777" w:rsidR="00293C9D" w:rsidRDefault="00873753">
      <w:pPr>
        <w:pStyle w:val="Kop1"/>
      </w:pPr>
      <w:r>
        <w:t>Bekaert in the World</w:t>
      </w:r>
    </w:p>
    <w:tbl>
      <w:tblPr>
        <w:tblW w:w="0" w:type="auto"/>
        <w:tblLayout w:type="fixed"/>
        <w:tblCellMar>
          <w:left w:w="70" w:type="dxa"/>
          <w:right w:w="70" w:type="dxa"/>
        </w:tblCellMar>
        <w:tblLook w:val="0000" w:firstRow="0" w:lastRow="0" w:firstColumn="0" w:lastColumn="0" w:noHBand="0" w:noVBand="0"/>
      </w:tblPr>
      <w:tblGrid>
        <w:gridCol w:w="1535"/>
        <w:gridCol w:w="1535"/>
        <w:gridCol w:w="1535"/>
        <w:gridCol w:w="1535"/>
        <w:gridCol w:w="1535"/>
        <w:gridCol w:w="1535"/>
      </w:tblGrid>
      <w:tr w:rsidR="00293C9D" w14:paraId="66A50F6B" w14:textId="77777777">
        <w:tc>
          <w:tcPr>
            <w:tcW w:w="1535" w:type="dxa"/>
          </w:tcPr>
          <w:p w14:paraId="46459998" w14:textId="77777777" w:rsidR="00293C9D" w:rsidRDefault="00873753">
            <w:r>
              <w:t>Number of plants</w:t>
            </w:r>
          </w:p>
        </w:tc>
        <w:tc>
          <w:tcPr>
            <w:tcW w:w="1535" w:type="dxa"/>
          </w:tcPr>
          <w:p w14:paraId="77222F76" w14:textId="77777777" w:rsidR="00293C9D" w:rsidRDefault="00873753">
            <w:r>
              <w:t>Europe</w:t>
            </w:r>
          </w:p>
        </w:tc>
        <w:tc>
          <w:tcPr>
            <w:tcW w:w="1535" w:type="dxa"/>
          </w:tcPr>
          <w:p w14:paraId="7583BA80" w14:textId="77777777" w:rsidR="00293C9D" w:rsidRDefault="00873753">
            <w:r>
              <w:t>North America</w:t>
            </w:r>
          </w:p>
        </w:tc>
        <w:tc>
          <w:tcPr>
            <w:tcW w:w="1535" w:type="dxa"/>
          </w:tcPr>
          <w:p w14:paraId="5996AB6C" w14:textId="77777777" w:rsidR="00293C9D" w:rsidRDefault="00873753">
            <w:r>
              <w:t>Latin America</w:t>
            </w:r>
          </w:p>
        </w:tc>
        <w:tc>
          <w:tcPr>
            <w:tcW w:w="1535" w:type="dxa"/>
          </w:tcPr>
          <w:p w14:paraId="043B2FDF" w14:textId="77777777" w:rsidR="00293C9D" w:rsidRDefault="00873753">
            <w:r>
              <w:t>Middle/Far East</w:t>
            </w:r>
          </w:p>
        </w:tc>
        <w:tc>
          <w:tcPr>
            <w:tcW w:w="1535" w:type="dxa"/>
          </w:tcPr>
          <w:p w14:paraId="6DA8251F" w14:textId="77777777" w:rsidR="00293C9D" w:rsidRDefault="00873753">
            <w:r>
              <w:t>Total</w:t>
            </w:r>
          </w:p>
        </w:tc>
      </w:tr>
      <w:tr w:rsidR="00293C9D" w14:paraId="6D3CFF8C" w14:textId="77777777">
        <w:tc>
          <w:tcPr>
            <w:tcW w:w="1535" w:type="dxa"/>
          </w:tcPr>
          <w:p w14:paraId="654D7122" w14:textId="77777777" w:rsidR="00293C9D" w:rsidRDefault="00873753">
            <w:r>
              <w:t>End 1995</w:t>
            </w:r>
          </w:p>
        </w:tc>
        <w:tc>
          <w:tcPr>
            <w:tcW w:w="1535" w:type="dxa"/>
          </w:tcPr>
          <w:p w14:paraId="66FA0974" w14:textId="77777777" w:rsidR="00293C9D" w:rsidRDefault="00873753">
            <w:r>
              <w:t>29</w:t>
            </w:r>
          </w:p>
        </w:tc>
        <w:tc>
          <w:tcPr>
            <w:tcW w:w="1535" w:type="dxa"/>
          </w:tcPr>
          <w:p w14:paraId="21499AC2" w14:textId="77777777" w:rsidR="00293C9D" w:rsidRDefault="00873753">
            <w:r>
              <w:t>2</w:t>
            </w:r>
          </w:p>
        </w:tc>
        <w:tc>
          <w:tcPr>
            <w:tcW w:w="1535" w:type="dxa"/>
          </w:tcPr>
          <w:p w14:paraId="1FC2C25F" w14:textId="77777777" w:rsidR="00293C9D" w:rsidRDefault="00873753">
            <w:r>
              <w:t>7</w:t>
            </w:r>
          </w:p>
        </w:tc>
        <w:tc>
          <w:tcPr>
            <w:tcW w:w="1535" w:type="dxa"/>
          </w:tcPr>
          <w:p w14:paraId="0DA76B57" w14:textId="77777777" w:rsidR="00293C9D" w:rsidRDefault="00873753">
            <w:r>
              <w:t>2</w:t>
            </w:r>
          </w:p>
        </w:tc>
        <w:tc>
          <w:tcPr>
            <w:tcW w:w="1535" w:type="dxa"/>
          </w:tcPr>
          <w:p w14:paraId="6ACD9E40" w14:textId="77777777" w:rsidR="00293C9D" w:rsidRDefault="00873753">
            <w:r>
              <w:t>40</w:t>
            </w:r>
          </w:p>
        </w:tc>
      </w:tr>
      <w:tr w:rsidR="00293C9D" w14:paraId="6959B0E7" w14:textId="77777777">
        <w:tc>
          <w:tcPr>
            <w:tcW w:w="1535" w:type="dxa"/>
          </w:tcPr>
          <w:p w14:paraId="58249944" w14:textId="77777777" w:rsidR="00293C9D" w:rsidRDefault="00873753">
            <w:r>
              <w:t>End 2000</w:t>
            </w:r>
          </w:p>
        </w:tc>
        <w:tc>
          <w:tcPr>
            <w:tcW w:w="1535" w:type="dxa"/>
          </w:tcPr>
          <w:p w14:paraId="0F18A5D7" w14:textId="77777777" w:rsidR="00293C9D" w:rsidRDefault="00873753">
            <w:r>
              <w:t>36</w:t>
            </w:r>
          </w:p>
        </w:tc>
        <w:tc>
          <w:tcPr>
            <w:tcW w:w="1535" w:type="dxa"/>
          </w:tcPr>
          <w:p w14:paraId="3F9EDE4E" w14:textId="77777777" w:rsidR="00293C9D" w:rsidRDefault="00873753">
            <w:r>
              <w:t>7</w:t>
            </w:r>
          </w:p>
        </w:tc>
        <w:tc>
          <w:tcPr>
            <w:tcW w:w="1535" w:type="dxa"/>
          </w:tcPr>
          <w:p w14:paraId="4CC32ED3" w14:textId="77777777" w:rsidR="00293C9D" w:rsidRDefault="00873753">
            <w:r>
              <w:t>14</w:t>
            </w:r>
          </w:p>
        </w:tc>
        <w:tc>
          <w:tcPr>
            <w:tcW w:w="1535" w:type="dxa"/>
          </w:tcPr>
          <w:p w14:paraId="76E84258" w14:textId="77777777" w:rsidR="00293C9D" w:rsidRDefault="00873753">
            <w:r>
              <w:t>4</w:t>
            </w:r>
          </w:p>
        </w:tc>
        <w:tc>
          <w:tcPr>
            <w:tcW w:w="1535" w:type="dxa"/>
          </w:tcPr>
          <w:p w14:paraId="4746272C" w14:textId="77777777" w:rsidR="00293C9D" w:rsidRDefault="00873753">
            <w:r>
              <w:t>61</w:t>
            </w:r>
          </w:p>
        </w:tc>
      </w:tr>
    </w:tbl>
    <w:p w14:paraId="30E479AB" w14:textId="77777777" w:rsidR="00293C9D" w:rsidRDefault="00293C9D"/>
    <w:tbl>
      <w:tblPr>
        <w:tblW w:w="0" w:type="auto"/>
        <w:tblLayout w:type="fixed"/>
        <w:tblCellMar>
          <w:left w:w="70" w:type="dxa"/>
          <w:right w:w="70" w:type="dxa"/>
        </w:tblCellMar>
        <w:tblLook w:val="0000" w:firstRow="0" w:lastRow="0" w:firstColumn="0" w:lastColumn="0" w:noHBand="0" w:noVBand="0"/>
      </w:tblPr>
      <w:tblGrid>
        <w:gridCol w:w="1535"/>
        <w:gridCol w:w="1535"/>
        <w:gridCol w:w="1535"/>
        <w:gridCol w:w="1535"/>
        <w:gridCol w:w="1535"/>
        <w:gridCol w:w="1535"/>
      </w:tblGrid>
      <w:tr w:rsidR="00293C9D" w14:paraId="35AFB21B" w14:textId="77777777">
        <w:tc>
          <w:tcPr>
            <w:tcW w:w="1535" w:type="dxa"/>
          </w:tcPr>
          <w:p w14:paraId="481C503D" w14:textId="77777777" w:rsidR="00293C9D" w:rsidRDefault="00873753">
            <w:r>
              <w:t>Personnel</w:t>
            </w:r>
          </w:p>
        </w:tc>
        <w:tc>
          <w:tcPr>
            <w:tcW w:w="1535" w:type="dxa"/>
          </w:tcPr>
          <w:p w14:paraId="013F1A11" w14:textId="77777777" w:rsidR="00293C9D" w:rsidRDefault="00873753">
            <w:r>
              <w:t>Europe</w:t>
            </w:r>
          </w:p>
        </w:tc>
        <w:tc>
          <w:tcPr>
            <w:tcW w:w="1535" w:type="dxa"/>
          </w:tcPr>
          <w:p w14:paraId="6CD7B2D9" w14:textId="77777777" w:rsidR="00293C9D" w:rsidRDefault="00873753">
            <w:r>
              <w:t>North America</w:t>
            </w:r>
          </w:p>
        </w:tc>
        <w:tc>
          <w:tcPr>
            <w:tcW w:w="1535" w:type="dxa"/>
          </w:tcPr>
          <w:p w14:paraId="29F52346" w14:textId="77777777" w:rsidR="00293C9D" w:rsidRDefault="00873753">
            <w:r>
              <w:t>Latin America</w:t>
            </w:r>
          </w:p>
        </w:tc>
        <w:tc>
          <w:tcPr>
            <w:tcW w:w="1535" w:type="dxa"/>
          </w:tcPr>
          <w:p w14:paraId="3C56FDC9" w14:textId="77777777" w:rsidR="00293C9D" w:rsidRDefault="00873753">
            <w:r>
              <w:t>Middle/Far East</w:t>
            </w:r>
          </w:p>
        </w:tc>
        <w:tc>
          <w:tcPr>
            <w:tcW w:w="1535" w:type="dxa"/>
          </w:tcPr>
          <w:p w14:paraId="7052DB30" w14:textId="77777777" w:rsidR="00293C9D" w:rsidRDefault="00873753">
            <w:r>
              <w:t>Total</w:t>
            </w:r>
          </w:p>
        </w:tc>
      </w:tr>
      <w:tr w:rsidR="00293C9D" w14:paraId="2D042BCE" w14:textId="77777777">
        <w:tc>
          <w:tcPr>
            <w:tcW w:w="1535" w:type="dxa"/>
          </w:tcPr>
          <w:p w14:paraId="30507E6A" w14:textId="77777777" w:rsidR="00293C9D" w:rsidRDefault="00873753">
            <w:r>
              <w:t>End 1995</w:t>
            </w:r>
          </w:p>
        </w:tc>
        <w:tc>
          <w:tcPr>
            <w:tcW w:w="1535" w:type="dxa"/>
          </w:tcPr>
          <w:p w14:paraId="1B0E82B9" w14:textId="77777777" w:rsidR="00293C9D" w:rsidRDefault="00873753">
            <w:r>
              <w:t>12 850</w:t>
            </w:r>
          </w:p>
        </w:tc>
        <w:tc>
          <w:tcPr>
            <w:tcW w:w="1535" w:type="dxa"/>
          </w:tcPr>
          <w:p w14:paraId="16B9C15C" w14:textId="77777777" w:rsidR="00293C9D" w:rsidRDefault="00873753">
            <w:r>
              <w:t>901</w:t>
            </w:r>
          </w:p>
        </w:tc>
        <w:tc>
          <w:tcPr>
            <w:tcW w:w="1535" w:type="dxa"/>
          </w:tcPr>
          <w:p w14:paraId="6F3BAB34" w14:textId="77777777" w:rsidR="00293C9D" w:rsidRDefault="00873753">
            <w:r>
              <w:t>2 178</w:t>
            </w:r>
          </w:p>
        </w:tc>
        <w:tc>
          <w:tcPr>
            <w:tcW w:w="1535" w:type="dxa"/>
          </w:tcPr>
          <w:p w14:paraId="5F23E05A" w14:textId="77777777" w:rsidR="00293C9D" w:rsidRDefault="00873753">
            <w:r>
              <w:t>835</w:t>
            </w:r>
          </w:p>
        </w:tc>
        <w:tc>
          <w:tcPr>
            <w:tcW w:w="1535" w:type="dxa"/>
          </w:tcPr>
          <w:p w14:paraId="7E62BD46" w14:textId="77777777" w:rsidR="00293C9D" w:rsidRDefault="00873753">
            <w:r>
              <w:t>16 764</w:t>
            </w:r>
          </w:p>
        </w:tc>
      </w:tr>
      <w:tr w:rsidR="00293C9D" w14:paraId="54B942AA" w14:textId="77777777">
        <w:tc>
          <w:tcPr>
            <w:tcW w:w="1535" w:type="dxa"/>
          </w:tcPr>
          <w:p w14:paraId="14113D9A" w14:textId="77777777" w:rsidR="00293C9D" w:rsidRDefault="00873753">
            <w:r>
              <w:t>End 2000</w:t>
            </w:r>
          </w:p>
        </w:tc>
        <w:tc>
          <w:tcPr>
            <w:tcW w:w="1535" w:type="dxa"/>
          </w:tcPr>
          <w:p w14:paraId="74750686" w14:textId="77777777" w:rsidR="00293C9D" w:rsidRDefault="00873753">
            <w:r>
              <w:t>10 097</w:t>
            </w:r>
          </w:p>
        </w:tc>
        <w:tc>
          <w:tcPr>
            <w:tcW w:w="1535" w:type="dxa"/>
          </w:tcPr>
          <w:p w14:paraId="48882AC1" w14:textId="77777777" w:rsidR="00293C9D" w:rsidRDefault="00873753">
            <w:r>
              <w:t>1 491</w:t>
            </w:r>
          </w:p>
        </w:tc>
        <w:tc>
          <w:tcPr>
            <w:tcW w:w="1535" w:type="dxa"/>
          </w:tcPr>
          <w:p w14:paraId="2ADD137E" w14:textId="77777777" w:rsidR="00293C9D" w:rsidRDefault="00873753">
            <w:r>
              <w:t>4 448</w:t>
            </w:r>
          </w:p>
        </w:tc>
        <w:tc>
          <w:tcPr>
            <w:tcW w:w="1535" w:type="dxa"/>
          </w:tcPr>
          <w:p w14:paraId="7E419965" w14:textId="77777777" w:rsidR="00293C9D" w:rsidRDefault="00873753">
            <w:r>
              <w:t>1 641</w:t>
            </w:r>
          </w:p>
        </w:tc>
        <w:tc>
          <w:tcPr>
            <w:tcW w:w="1535" w:type="dxa"/>
          </w:tcPr>
          <w:p w14:paraId="35A6A29D" w14:textId="77777777" w:rsidR="00293C9D" w:rsidRDefault="00873753">
            <w:r>
              <w:t>17 677</w:t>
            </w:r>
          </w:p>
        </w:tc>
      </w:tr>
    </w:tbl>
    <w:p w14:paraId="623F6798" w14:textId="77777777" w:rsidR="00873753" w:rsidRDefault="00873753"/>
    <w:sectPr w:rsidR="00873753">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38"/>
    <w:rsid w:val="00256C38"/>
    <w:rsid w:val="00293C9D"/>
    <w:rsid w:val="00387C5C"/>
    <w:rsid w:val="00873753"/>
    <w:rsid w:val="009A32B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AF711"/>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
    <w:name w:val="List"/>
    <w:basedOn w:val="Standaard"/>
    <w:semiHidden/>
    <w:pPr>
      <w:ind w:left="283" w:hanging="283"/>
    </w:pPr>
  </w:style>
  <w:style w:type="paragraph" w:styleId="Titel">
    <w:name w:val="Title"/>
    <w:basedOn w:val="Standaard"/>
    <w:qFormat/>
    <w:pPr>
      <w:spacing w:before="240" w:after="60"/>
      <w:jc w:val="center"/>
    </w:pPr>
    <w:rPr>
      <w:rFonts w:ascii="Arial" w:hAnsi="Arial"/>
      <w:b/>
      <w:kern w:val="28"/>
      <w:sz w:val="32"/>
    </w:rPr>
  </w:style>
  <w:style w:type="paragraph" w:styleId="Plattetekst">
    <w:name w:val="Body Text"/>
    <w:basedOn w:val="Standaard"/>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1716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A short history</vt:lpstr>
    </vt:vector>
  </TitlesOfParts>
  <Company>WWW-Soft</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short history</dc:title>
  <dc:creator>Danny Devriendt</dc:creator>
  <cp:lastModifiedBy>DannyDV</cp:lastModifiedBy>
  <cp:revision>4</cp:revision>
  <dcterms:created xsi:type="dcterms:W3CDTF">2008-03-28T13:43:00Z</dcterms:created>
  <dcterms:modified xsi:type="dcterms:W3CDTF">2019-08-21T13:03:00Z</dcterms:modified>
</cp:coreProperties>
</file>